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0C127" w14:textId="77777777" w:rsidR="004B0D7A" w:rsidRDefault="00000000">
      <w:pPr>
        <w:pStyle w:val="CoverTitle"/>
      </w:pPr>
      <w:r>
        <w:t>SQK QMEDIC White Paper Draft</w:t>
      </w:r>
    </w:p>
    <w:p w14:paraId="55EEDBD2" w14:textId="77777777" w:rsidR="004B0D7A" w:rsidRDefault="00000000">
      <w:pPr>
        <w:pStyle w:val="CoverSubtitle"/>
      </w:pPr>
      <w:r>
        <w:t>Quantum-AI-Powered Hallucination-Free Medical Imaging Reconstruction and Refinement Platform</w:t>
      </w:r>
    </w:p>
    <w:p w14:paraId="4773DB49" w14:textId="77777777" w:rsidR="004B0D7A" w:rsidRDefault="00000000">
      <w:pPr>
        <w:pStyle w:val="CoverSubtitle"/>
      </w:pPr>
      <w:r>
        <w:t>Prepared as a Word-format full white paper draft based on the previously developed QMEDIC investor/commercialization outline.</w:t>
      </w:r>
    </w:p>
    <w:p w14:paraId="42B04ABF" w14:textId="77777777" w:rsidR="004B0D7A" w:rsidRDefault="00000000">
      <w:pPr>
        <w:pStyle w:val="CoverSubtitle"/>
      </w:pPr>
      <w:r>
        <w:t>Prepared for investors, clinical research partners, healthcare platform stakeholders, and strategic ecosystem discussions.</w:t>
      </w:r>
    </w:p>
    <w:tbl>
      <w:tblPr>
        <w:tblStyle w:val="af9"/>
        <w:tblW w:w="0" w:type="auto"/>
        <w:tblLook w:val="04A0" w:firstRow="1" w:lastRow="0" w:firstColumn="1" w:lastColumn="0" w:noHBand="0" w:noVBand="1"/>
      </w:tblPr>
      <w:tblGrid>
        <w:gridCol w:w="4839"/>
        <w:gridCol w:w="4839"/>
      </w:tblGrid>
      <w:tr w:rsidR="004B0D7A" w14:paraId="5D21C2DC" w14:textId="77777777">
        <w:tc>
          <w:tcPr>
            <w:tcW w:w="4896" w:type="dxa"/>
            <w:shd w:val="clear" w:color="auto" w:fill="EAF1FB"/>
            <w:tcMar>
              <w:top w:w="90" w:type="dxa"/>
              <w:left w:w="110" w:type="dxa"/>
              <w:bottom w:w="90" w:type="dxa"/>
              <w:right w:w="110" w:type="dxa"/>
            </w:tcMar>
            <w:vAlign w:val="center"/>
          </w:tcPr>
          <w:p w14:paraId="00306951" w14:textId="77777777" w:rsidR="004B0D7A" w:rsidRDefault="00000000">
            <w:r>
              <w:rPr>
                <w:b/>
                <w:color w:val="172C58"/>
              </w:rPr>
              <w:t>Company</w:t>
            </w:r>
          </w:p>
        </w:tc>
        <w:tc>
          <w:tcPr>
            <w:tcW w:w="4896" w:type="dxa"/>
            <w:tcMar>
              <w:top w:w="90" w:type="dxa"/>
              <w:left w:w="110" w:type="dxa"/>
              <w:bottom w:w="90" w:type="dxa"/>
              <w:right w:w="110" w:type="dxa"/>
            </w:tcMar>
            <w:vAlign w:val="center"/>
          </w:tcPr>
          <w:p w14:paraId="5C44F96D" w14:textId="4A2B88B5" w:rsidR="004B0D7A" w:rsidRDefault="00000000">
            <w:r>
              <w:t xml:space="preserve">Super Quantique </w:t>
            </w:r>
            <w:r w:rsidR="00D72B07">
              <w:rPr>
                <w:rFonts w:hint="eastAsia"/>
                <w:lang w:eastAsia="ko-KR"/>
              </w:rPr>
              <w:t>Kinetics</w:t>
            </w:r>
            <w:r>
              <w:t xml:space="preserve"> (SQK)</w:t>
            </w:r>
          </w:p>
        </w:tc>
      </w:tr>
      <w:tr w:rsidR="004B0D7A" w14:paraId="28738F32" w14:textId="77777777">
        <w:tc>
          <w:tcPr>
            <w:tcW w:w="4896" w:type="dxa"/>
            <w:shd w:val="clear" w:color="auto" w:fill="EAF1FB"/>
            <w:tcMar>
              <w:top w:w="90" w:type="dxa"/>
              <w:left w:w="110" w:type="dxa"/>
              <w:bottom w:w="90" w:type="dxa"/>
              <w:right w:w="110" w:type="dxa"/>
            </w:tcMar>
            <w:vAlign w:val="center"/>
          </w:tcPr>
          <w:p w14:paraId="733D483D" w14:textId="77777777" w:rsidR="004B0D7A" w:rsidRDefault="00000000">
            <w:r>
              <w:rPr>
                <w:b/>
                <w:color w:val="172C58"/>
              </w:rPr>
              <w:t>Product</w:t>
            </w:r>
          </w:p>
        </w:tc>
        <w:tc>
          <w:tcPr>
            <w:tcW w:w="4896" w:type="dxa"/>
            <w:tcMar>
              <w:top w:w="90" w:type="dxa"/>
              <w:left w:w="110" w:type="dxa"/>
              <w:bottom w:w="90" w:type="dxa"/>
              <w:right w:w="110" w:type="dxa"/>
            </w:tcMar>
            <w:vAlign w:val="center"/>
          </w:tcPr>
          <w:p w14:paraId="11092F98" w14:textId="77777777" w:rsidR="004B0D7A" w:rsidRDefault="00000000">
            <w:r>
              <w:t>QMEDIC</w:t>
            </w:r>
          </w:p>
        </w:tc>
      </w:tr>
      <w:tr w:rsidR="004B0D7A" w14:paraId="4ACE5435" w14:textId="77777777">
        <w:tc>
          <w:tcPr>
            <w:tcW w:w="4896" w:type="dxa"/>
            <w:shd w:val="clear" w:color="auto" w:fill="EAF1FB"/>
            <w:tcMar>
              <w:top w:w="90" w:type="dxa"/>
              <w:left w:w="110" w:type="dxa"/>
              <w:bottom w:w="90" w:type="dxa"/>
              <w:right w:w="110" w:type="dxa"/>
            </w:tcMar>
            <w:vAlign w:val="center"/>
          </w:tcPr>
          <w:p w14:paraId="744934BF" w14:textId="77777777" w:rsidR="004B0D7A" w:rsidRDefault="00000000">
            <w:r>
              <w:rPr>
                <w:b/>
                <w:color w:val="172C58"/>
              </w:rPr>
              <w:t>Document Type</w:t>
            </w:r>
          </w:p>
        </w:tc>
        <w:tc>
          <w:tcPr>
            <w:tcW w:w="4896" w:type="dxa"/>
            <w:tcMar>
              <w:top w:w="90" w:type="dxa"/>
              <w:left w:w="110" w:type="dxa"/>
              <w:bottom w:w="90" w:type="dxa"/>
              <w:right w:w="110" w:type="dxa"/>
            </w:tcMar>
            <w:vAlign w:val="center"/>
          </w:tcPr>
          <w:p w14:paraId="37797D72" w14:textId="77777777" w:rsidR="004B0D7A" w:rsidRDefault="00000000">
            <w:r>
              <w:t>Full white paper draft for Word document packaging</w:t>
            </w:r>
          </w:p>
        </w:tc>
      </w:tr>
      <w:tr w:rsidR="004B0D7A" w14:paraId="18A1D1EC" w14:textId="77777777">
        <w:tc>
          <w:tcPr>
            <w:tcW w:w="4896" w:type="dxa"/>
            <w:shd w:val="clear" w:color="auto" w:fill="EAF1FB"/>
            <w:tcMar>
              <w:top w:w="90" w:type="dxa"/>
              <w:left w:w="110" w:type="dxa"/>
              <w:bottom w:w="90" w:type="dxa"/>
              <w:right w:w="110" w:type="dxa"/>
            </w:tcMar>
            <w:vAlign w:val="center"/>
          </w:tcPr>
          <w:p w14:paraId="68814E44" w14:textId="77777777" w:rsidR="004B0D7A" w:rsidRDefault="00000000">
            <w:r>
              <w:rPr>
                <w:b/>
                <w:color w:val="172C58"/>
              </w:rPr>
              <w:t>Version / Date</w:t>
            </w:r>
          </w:p>
        </w:tc>
        <w:tc>
          <w:tcPr>
            <w:tcW w:w="4896" w:type="dxa"/>
            <w:tcMar>
              <w:top w:w="90" w:type="dxa"/>
              <w:left w:w="110" w:type="dxa"/>
              <w:bottom w:w="90" w:type="dxa"/>
              <w:right w:w="110" w:type="dxa"/>
            </w:tcMar>
            <w:vAlign w:val="center"/>
          </w:tcPr>
          <w:p w14:paraId="43A47ED0" w14:textId="77777777" w:rsidR="004B0D7A" w:rsidRDefault="00000000">
            <w:r>
              <w:t>Draft v1.0 / 2026-04-09</w:t>
            </w:r>
          </w:p>
        </w:tc>
      </w:tr>
    </w:tbl>
    <w:p w14:paraId="12FF14D7" w14:textId="77777777" w:rsidR="004B0D7A" w:rsidRDefault="004B0D7A"/>
    <w:tbl>
      <w:tblPr>
        <w:tblW w:w="0" w:type="auto"/>
        <w:jc w:val="center"/>
        <w:tblLook w:val="04A0" w:firstRow="1" w:lastRow="0" w:firstColumn="1" w:lastColumn="0" w:noHBand="0" w:noVBand="1"/>
      </w:tblPr>
      <w:tblGrid>
        <w:gridCol w:w="9718"/>
      </w:tblGrid>
      <w:tr w:rsidR="004B0D7A" w14:paraId="5112EE40" w14:textId="77777777">
        <w:trPr>
          <w:jc w:val="center"/>
        </w:trPr>
        <w:tc>
          <w:tcPr>
            <w:tcW w:w="9792" w:type="dxa"/>
            <w:shd w:val="clear" w:color="auto" w:fill="F3F6FA"/>
            <w:tcMar>
              <w:top w:w="110" w:type="dxa"/>
              <w:left w:w="130" w:type="dxa"/>
              <w:bottom w:w="110" w:type="dxa"/>
              <w:right w:w="130" w:type="dxa"/>
            </w:tcMar>
          </w:tcPr>
          <w:p w14:paraId="5ECF483B" w14:textId="77777777" w:rsidR="004B0D7A" w:rsidRDefault="00000000">
            <w:pPr>
              <w:spacing w:after="0"/>
            </w:pPr>
            <w:r>
              <w:rPr>
                <w:b/>
                <w:color w:val="172C58"/>
                <w:sz w:val="23"/>
              </w:rPr>
              <w:t>Positioning Statement</w:t>
            </w:r>
            <w:r>
              <w:rPr>
                <w:b/>
                <w:color w:val="172C58"/>
                <w:sz w:val="23"/>
              </w:rPr>
              <w:br/>
            </w:r>
            <w:r>
              <w:rPr>
                <w:sz w:val="20"/>
              </w:rPr>
              <w:t>QMEDIC is designed as a reliability-centered medical imaging reconstruction and refinement platform. It combines physics-constrained processing, hallucination suppression, quality assurance, API/SaaS delivery, and an AI-native Co-pilot layer to support commercial deployment, research validation, and regulatory readiness.</w:t>
            </w:r>
          </w:p>
        </w:tc>
      </w:tr>
    </w:tbl>
    <w:p w14:paraId="5E4AFFE4" w14:textId="77777777" w:rsidR="004B0D7A" w:rsidRDefault="00000000">
      <w:r>
        <w:br w:type="page"/>
      </w:r>
    </w:p>
    <w:p w14:paraId="1D73E2BF" w14:textId="77777777" w:rsidR="004B0D7A" w:rsidRDefault="00000000">
      <w:pPr>
        <w:pStyle w:val="ChapterTitle"/>
      </w:pPr>
      <w:r>
        <w:lastRenderedPageBreak/>
        <w:t>Table of Contents</w:t>
      </w:r>
    </w:p>
    <w:p w14:paraId="01CE6A2B" w14:textId="77777777" w:rsidR="004B0D7A" w:rsidRDefault="00000000">
      <w:pPr>
        <w:ind w:left="288"/>
      </w:pPr>
      <w:r>
        <w:t>1. Executive Summary</w:t>
      </w:r>
    </w:p>
    <w:p w14:paraId="66CBB09C" w14:textId="77777777" w:rsidR="004B0D7A" w:rsidRDefault="00000000">
      <w:pPr>
        <w:ind w:left="288"/>
      </w:pPr>
      <w:r>
        <w:t>2. Investment Highlights</w:t>
      </w:r>
    </w:p>
    <w:p w14:paraId="2F434B55" w14:textId="77777777" w:rsidR="004B0D7A" w:rsidRDefault="00000000">
      <w:pPr>
        <w:ind w:left="288"/>
      </w:pPr>
      <w:r>
        <w:t>3. Problem &amp; Unmet Need</w:t>
      </w:r>
    </w:p>
    <w:p w14:paraId="43ADD39F" w14:textId="77777777" w:rsidR="004B0D7A" w:rsidRDefault="00000000">
      <w:pPr>
        <w:ind w:left="288"/>
      </w:pPr>
      <w:r>
        <w:t>4. Solution Overview: QMEDIC</w:t>
      </w:r>
    </w:p>
    <w:p w14:paraId="7E9C4922" w14:textId="77777777" w:rsidR="004B0D7A" w:rsidRDefault="00000000">
      <w:pPr>
        <w:ind w:left="288"/>
      </w:pPr>
      <w:r>
        <w:t>5. Market Opportunity</w:t>
      </w:r>
    </w:p>
    <w:p w14:paraId="4CAE9D67" w14:textId="77777777" w:rsidR="004B0D7A" w:rsidRDefault="00000000">
      <w:pPr>
        <w:ind w:left="288"/>
      </w:pPr>
      <w:r>
        <w:t>6. Product &amp; Technology Differentiation</w:t>
      </w:r>
    </w:p>
    <w:p w14:paraId="61D96297" w14:textId="77777777" w:rsidR="004B0D7A" w:rsidRDefault="00000000">
      <w:pPr>
        <w:ind w:left="288"/>
      </w:pPr>
      <w:r>
        <w:t>7. Product Architecture &amp; Platform Strategy</w:t>
      </w:r>
    </w:p>
    <w:p w14:paraId="6BA82374" w14:textId="77777777" w:rsidR="004B0D7A" w:rsidRDefault="00000000">
      <w:pPr>
        <w:ind w:left="288"/>
      </w:pPr>
      <w:r>
        <w:t>8. Validation, Clinical Relevance &amp; Evidence</w:t>
      </w:r>
    </w:p>
    <w:p w14:paraId="2C6508DC" w14:textId="77777777" w:rsidR="004B0D7A" w:rsidRDefault="00000000">
      <w:pPr>
        <w:ind w:left="288"/>
      </w:pPr>
      <w:r>
        <w:t>9. Competitive Landscape</w:t>
      </w:r>
    </w:p>
    <w:p w14:paraId="3B11B32B" w14:textId="77777777" w:rsidR="004B0D7A" w:rsidRDefault="00000000">
      <w:pPr>
        <w:ind w:left="288"/>
      </w:pPr>
      <w:r>
        <w:t>10. Business Model</w:t>
      </w:r>
    </w:p>
    <w:p w14:paraId="31134AE5" w14:textId="77777777" w:rsidR="004B0D7A" w:rsidRDefault="00000000">
      <w:pPr>
        <w:ind w:left="288"/>
      </w:pPr>
      <w:r>
        <w:t>11. Go-to-Market Strategy</w:t>
      </w:r>
    </w:p>
    <w:p w14:paraId="4C2CF79A" w14:textId="77777777" w:rsidR="004B0D7A" w:rsidRDefault="00000000">
      <w:pPr>
        <w:ind w:left="288"/>
      </w:pPr>
      <w:r>
        <w:t>12. Regulatory &amp; Commercialization Readiness</w:t>
      </w:r>
    </w:p>
    <w:p w14:paraId="7423A290" w14:textId="77777777" w:rsidR="004B0D7A" w:rsidRDefault="00000000">
      <w:pPr>
        <w:ind w:left="288"/>
      </w:pPr>
      <w:r>
        <w:t>13. Traction &amp; Milestones</w:t>
      </w:r>
    </w:p>
    <w:p w14:paraId="1620636E" w14:textId="77777777" w:rsidR="004B0D7A" w:rsidRDefault="00000000">
      <w:pPr>
        <w:ind w:left="288"/>
      </w:pPr>
      <w:r>
        <w:t>14. Team &amp; Execution Capability</w:t>
      </w:r>
    </w:p>
    <w:p w14:paraId="739322D6" w14:textId="77777777" w:rsidR="004B0D7A" w:rsidRDefault="00000000">
      <w:pPr>
        <w:ind w:left="288"/>
      </w:pPr>
      <w:r>
        <w:t>15. Financial Outlook</w:t>
      </w:r>
    </w:p>
    <w:p w14:paraId="6EAC6E91" w14:textId="77777777" w:rsidR="004B0D7A" w:rsidRDefault="00000000">
      <w:pPr>
        <w:ind w:left="288"/>
      </w:pPr>
      <w:r>
        <w:t>16. Use of Funds</w:t>
      </w:r>
    </w:p>
    <w:p w14:paraId="681A9035" w14:textId="77777777" w:rsidR="004B0D7A" w:rsidRDefault="00000000">
      <w:pPr>
        <w:ind w:left="288"/>
      </w:pPr>
      <w:r>
        <w:t>17. Risks &amp; Mitigation</w:t>
      </w:r>
    </w:p>
    <w:p w14:paraId="5E1B31DF" w14:textId="77777777" w:rsidR="004B0D7A" w:rsidRDefault="00000000">
      <w:pPr>
        <w:ind w:left="288"/>
      </w:pPr>
      <w:r>
        <w:t>18. Exit &amp; Long-Term Upside</w:t>
      </w:r>
    </w:p>
    <w:p w14:paraId="54551213" w14:textId="77777777" w:rsidR="004B0D7A" w:rsidRDefault="00000000">
      <w:pPr>
        <w:ind w:left="288"/>
      </w:pPr>
      <w:r>
        <w:t>19. Conclusion</w:t>
      </w:r>
    </w:p>
    <w:p w14:paraId="5EA3497A" w14:textId="77777777" w:rsidR="004B0D7A" w:rsidRDefault="00000000">
      <w:pPr>
        <w:ind w:left="288"/>
      </w:pPr>
      <w:r>
        <w:t>Appendix A–F</w:t>
      </w:r>
    </w:p>
    <w:p w14:paraId="3946C0B6" w14:textId="77777777" w:rsidR="004B0D7A" w:rsidRDefault="00000000">
      <w:pPr>
        <w:pStyle w:val="SmallGray"/>
      </w:pPr>
      <w:r>
        <w:t>Note: This Word-formatted draft is organized for readability, investor review, and partner-level discussion. Page count may vary by Word rendering environment and final editorial revisions.</w:t>
      </w:r>
    </w:p>
    <w:p w14:paraId="6A5BD577" w14:textId="77777777" w:rsidR="004B0D7A" w:rsidRDefault="00000000">
      <w:r>
        <w:br w:type="page"/>
      </w:r>
    </w:p>
    <w:p w14:paraId="60191DC8" w14:textId="77777777" w:rsidR="004B0D7A" w:rsidRDefault="00000000">
      <w:pPr>
        <w:pStyle w:val="ChapterTitle"/>
      </w:pPr>
      <w:r>
        <w:lastRenderedPageBreak/>
        <w:t>1. Executive Summary</w:t>
      </w:r>
    </w:p>
    <w:p w14:paraId="3E985C8B" w14:textId="77777777" w:rsidR="004B0D7A" w:rsidRDefault="00000000">
      <w:pPr>
        <w:pStyle w:val="SectionTitle"/>
      </w:pPr>
      <w:r>
        <w:t>1.1 SQK</w:t>
      </w:r>
      <w:r>
        <w:t>와</w:t>
      </w:r>
      <w:r>
        <w:t xml:space="preserve"> QMEDIC </w:t>
      </w:r>
      <w:r>
        <w:t>한줄</w:t>
      </w:r>
      <w:r>
        <w:t xml:space="preserve"> </w:t>
      </w:r>
      <w:r>
        <w:t>소개</w:t>
      </w:r>
    </w:p>
    <w:p w14:paraId="762326FF" w14:textId="77777777" w:rsidR="004B0D7A" w:rsidRDefault="00000000">
      <w:r>
        <w:t>Super Quantique Karma (SQK) is a deep-tech company focused on combining quantum computing, artificial intelligence, and high-performance imaging pipelines to solve high-trust industrial and medical problems. QMEDIC is SQK’s flagship medical imaging platform for reconstruction and refinement, built around the principle that better medical images must also be more trustworthy, more auditable, and more operationally deployable.</w:t>
      </w:r>
    </w:p>
    <w:p w14:paraId="3D9BF10F" w14:textId="77777777" w:rsidR="004B0D7A" w:rsidRDefault="00000000">
      <w:r>
        <w:t>Rather than positioning QMEDIC as a cosmetic image enhancement tool, SQK positions it as a reliability layer for medical imaging. The platform targets CT, MRI, and research imaging environments where image fidelity, consistency, reproducibility, and downstream diagnostic confidence are materially important.</w:t>
      </w:r>
    </w:p>
    <w:p w14:paraId="227B9FFF" w14:textId="77777777" w:rsidR="004B0D7A" w:rsidRDefault="00000000">
      <w:pPr>
        <w:pStyle w:val="SectionTitle"/>
      </w:pPr>
      <w:r>
        <w:t xml:space="preserve">1.2 </w:t>
      </w:r>
      <w:r>
        <w:t>해결하는</w:t>
      </w:r>
      <w:r>
        <w:t xml:space="preserve"> </w:t>
      </w:r>
      <w:r>
        <w:t>핵심</w:t>
      </w:r>
      <w:r>
        <w:t xml:space="preserve"> </w:t>
      </w:r>
      <w:r>
        <w:t>문제</w:t>
      </w:r>
    </w:p>
    <w:p w14:paraId="7BB5C16A" w14:textId="77777777" w:rsidR="004B0D7A" w:rsidRDefault="00000000">
      <w:r>
        <w:t>The core problem QMEDIC addresses is not simply image quality degradation. The deeper issue is that many current imaging AI systems improve appearance without sufficiently managing physical consistency, hallucination risk, traceability, or workflow accountability. In medical settings, these omissions can undermine diagnostic trust.</w:t>
      </w:r>
    </w:p>
    <w:p w14:paraId="06CA002A" w14:textId="77777777" w:rsidR="004B0D7A" w:rsidRDefault="00000000">
      <w:r>
        <w:t>QMEDIC is therefore designed to suppress hallucination risk, preserve physically meaningful information, document processing history, and provide quality signals that can support both expert review and commercialization readiness.</w:t>
      </w:r>
    </w:p>
    <w:p w14:paraId="0E74FA17" w14:textId="77777777" w:rsidR="004B0D7A" w:rsidRDefault="00000000">
      <w:pPr>
        <w:pStyle w:val="SectionTitle"/>
      </w:pPr>
      <w:r>
        <w:t xml:space="preserve">1.3 </w:t>
      </w:r>
      <w:r>
        <w:t>시장</w:t>
      </w:r>
      <w:r>
        <w:t xml:space="preserve"> </w:t>
      </w:r>
      <w:r>
        <w:t>기회와</w:t>
      </w:r>
      <w:r>
        <w:t xml:space="preserve"> </w:t>
      </w:r>
      <w:r>
        <w:t>사업성</w:t>
      </w:r>
    </w:p>
    <w:p w14:paraId="38AB0BFD" w14:textId="77777777" w:rsidR="004B0D7A" w:rsidRDefault="00000000">
      <w:r>
        <w:t>The market opportunity is attractive because healthcare systems, research labs, imaging software vendors, and AI developers all increasingly depend on reliable imaging pipelines. Growth in imaging volume, demand for low-dose workflows, biomarker-driven studies, and AI-based decision support all increase the value of a robust reconstruction and refinement platform.</w:t>
      </w:r>
    </w:p>
    <w:p w14:paraId="14F7B544" w14:textId="77777777" w:rsidR="004B0D7A" w:rsidRDefault="00000000">
      <w:r>
        <w:t>SQK’s commercialization strategy begins with research institutes and clinical research environments where adoption friction is lower, validation cycles are faster, and real-world evidence can be accumulated in parallel with early revenue generation.</w:t>
      </w:r>
    </w:p>
    <w:p w14:paraId="7DF1A8B2" w14:textId="77777777" w:rsidR="004B0D7A" w:rsidRDefault="00000000">
      <w:pPr>
        <w:pStyle w:val="SectionTitle"/>
      </w:pPr>
      <w:r>
        <w:t xml:space="preserve">1.4 </w:t>
      </w:r>
      <w:r>
        <w:t>기술</w:t>
      </w:r>
      <w:r>
        <w:t xml:space="preserve"> </w:t>
      </w:r>
      <w:r>
        <w:t>차별성</w:t>
      </w:r>
      <w:r>
        <w:t xml:space="preserve"> </w:t>
      </w:r>
      <w:r>
        <w:t>요약</w:t>
      </w:r>
    </w:p>
    <w:p w14:paraId="3AE1C14E" w14:textId="77777777" w:rsidR="004B0D7A" w:rsidRDefault="00000000">
      <w:r>
        <w:t>QMEDIC differentiates itself through physics-constrained reconstruction, source-data consistency checks, refinement modules with guarded enhancement logic, quality assurance outputs, and a Co-pilot layer that helps operators choose modes, interpret quality outputs, and generate documentation.</w:t>
      </w:r>
    </w:p>
    <w:p w14:paraId="01C1A4EE" w14:textId="77777777" w:rsidR="004B0D7A" w:rsidRDefault="00000000">
      <w:r>
        <w:t>This creates a product that is not only technically differentiated but also operationally more relevant to institutions that need to manage risk, standardize workflows, and prepare for regulated deployment.</w:t>
      </w:r>
    </w:p>
    <w:p w14:paraId="7CE0FEE5" w14:textId="77777777" w:rsidR="004B0D7A" w:rsidRDefault="00000000">
      <w:pPr>
        <w:pStyle w:val="SectionTitle"/>
      </w:pPr>
      <w:r>
        <w:t xml:space="preserve">1.5 </w:t>
      </w:r>
      <w:r>
        <w:t>투자</w:t>
      </w:r>
      <w:r>
        <w:t xml:space="preserve"> </w:t>
      </w:r>
      <w:r>
        <w:t>포인트</w:t>
      </w:r>
      <w:r>
        <w:t xml:space="preserve"> </w:t>
      </w:r>
      <w:r>
        <w:t>요약</w:t>
      </w:r>
    </w:p>
    <w:p w14:paraId="0473EAE9" w14:textId="540650EB" w:rsidR="004B0D7A" w:rsidRDefault="00000000">
      <w:r>
        <w:t>From an investment perspective, QMEDIC combines a high-value technical wedge, a practical initial market-entry path, and a credible roadmap toward larger institutional deployment. The product can generate traction in research markets while simultaneously building evidence, workflow maturity, and regulatory readiness for broader healthcare commercialization.</w:t>
      </w:r>
      <w:r>
        <w:br w:type="page"/>
      </w:r>
    </w:p>
    <w:p w14:paraId="6E079541" w14:textId="77777777" w:rsidR="004B0D7A" w:rsidRDefault="00000000">
      <w:pPr>
        <w:pStyle w:val="ChapterTitle"/>
      </w:pPr>
      <w:r>
        <w:lastRenderedPageBreak/>
        <w:t>2. Investment Highlights</w:t>
      </w:r>
    </w:p>
    <w:p w14:paraId="33F5C9B0" w14:textId="77777777" w:rsidR="004B0D7A" w:rsidRDefault="00000000">
      <w:pPr>
        <w:pStyle w:val="SectionTitle"/>
      </w:pPr>
      <w:r>
        <w:t xml:space="preserve">2.1 </w:t>
      </w:r>
      <w:r>
        <w:t>왜</w:t>
      </w:r>
      <w:r>
        <w:t xml:space="preserve"> </w:t>
      </w:r>
      <w:r>
        <w:t>지금</w:t>
      </w:r>
      <w:r>
        <w:t xml:space="preserve"> QMEDIC</w:t>
      </w:r>
      <w:r>
        <w:t>인가</w:t>
      </w:r>
    </w:p>
    <w:p w14:paraId="77472E24" w14:textId="77777777" w:rsidR="004B0D7A" w:rsidRDefault="00000000">
      <w:r>
        <w:t>Medical imaging AI is moving from exploratory pilot work to operational adoption. Stakeholders increasingly care about quality governance, traceability, lifecycle management, and deployment architecture in addition to raw AI performance. This timing strongly favors platforms that are designed from the beginning to operate in real workflows rather than only in benchmarking environments.</w:t>
      </w:r>
    </w:p>
    <w:p w14:paraId="00C206AE" w14:textId="77777777" w:rsidR="004B0D7A" w:rsidRDefault="00000000">
      <w:pPr>
        <w:pStyle w:val="SectionTitle"/>
        <w:rPr>
          <w:lang w:eastAsia="ko-KR"/>
        </w:rPr>
      </w:pPr>
      <w:r>
        <w:rPr>
          <w:lang w:eastAsia="ko-KR"/>
        </w:rPr>
        <w:t xml:space="preserve">2.2 </w:t>
      </w:r>
      <w:r>
        <w:rPr>
          <w:lang w:eastAsia="ko-KR"/>
        </w:rPr>
        <w:t>왜</w:t>
      </w:r>
      <w:r>
        <w:rPr>
          <w:lang w:eastAsia="ko-KR"/>
        </w:rPr>
        <w:t xml:space="preserve"> SQK</w:t>
      </w:r>
      <w:r>
        <w:rPr>
          <w:lang w:eastAsia="ko-KR"/>
        </w:rPr>
        <w:t>가</w:t>
      </w:r>
      <w:r>
        <w:rPr>
          <w:lang w:eastAsia="ko-KR"/>
        </w:rPr>
        <w:t xml:space="preserve"> </w:t>
      </w:r>
      <w:r>
        <w:rPr>
          <w:lang w:eastAsia="ko-KR"/>
        </w:rPr>
        <w:t>이</w:t>
      </w:r>
      <w:r>
        <w:rPr>
          <w:lang w:eastAsia="ko-KR"/>
        </w:rPr>
        <w:t xml:space="preserve"> </w:t>
      </w:r>
      <w:r>
        <w:rPr>
          <w:lang w:eastAsia="ko-KR"/>
        </w:rPr>
        <w:t>시장에서</w:t>
      </w:r>
      <w:r>
        <w:rPr>
          <w:lang w:eastAsia="ko-KR"/>
        </w:rPr>
        <w:t xml:space="preserve"> </w:t>
      </w:r>
      <w:r>
        <w:rPr>
          <w:lang w:eastAsia="ko-KR"/>
        </w:rPr>
        <w:t>유리한가</w:t>
      </w:r>
    </w:p>
    <w:p w14:paraId="2E86EE65" w14:textId="77777777" w:rsidR="004B0D7A" w:rsidRDefault="00000000">
      <w:r>
        <w:t>SQK approaches the market from the intersection of imaging science, AI, orchestration, and commercialization. The company is not trying to compete only as an inference model vendor; it is building a controllable platform layer that can work across research, API, cloud, and partner environments.</w:t>
      </w:r>
    </w:p>
    <w:p w14:paraId="0974607A" w14:textId="77777777" w:rsidR="004B0D7A" w:rsidRDefault="00000000">
      <w:pPr>
        <w:pStyle w:val="SectionTitle"/>
      </w:pPr>
      <w:r>
        <w:t xml:space="preserve">2.3 </w:t>
      </w:r>
      <w:r>
        <w:t>핵심</w:t>
      </w:r>
      <w:r>
        <w:t xml:space="preserve"> </w:t>
      </w:r>
      <w:r>
        <w:t>기술</w:t>
      </w:r>
      <w:r>
        <w:t xml:space="preserve"> </w:t>
      </w:r>
      <w:r>
        <w:t>우위</w:t>
      </w:r>
    </w:p>
    <w:p w14:paraId="50A5E7BF" w14:textId="77777777" w:rsidR="004B0D7A" w:rsidRDefault="00000000">
      <w:r>
        <w:t>The technical edge comes from the combination of source-consistent reconstruction, refinement control, evidence and benchmarking logic, and future extensibility into quantum-classical orchestration via QUKKOS and QTAU.</w:t>
      </w:r>
    </w:p>
    <w:p w14:paraId="07B86E28" w14:textId="77777777" w:rsidR="004B0D7A" w:rsidRDefault="00000000">
      <w:pPr>
        <w:pStyle w:val="SectionTitle"/>
      </w:pPr>
      <w:r>
        <w:t xml:space="preserve">2.4 </w:t>
      </w:r>
      <w:r>
        <w:t>초기</w:t>
      </w:r>
      <w:r>
        <w:t xml:space="preserve"> </w:t>
      </w:r>
      <w:r>
        <w:t>시장</w:t>
      </w:r>
      <w:r>
        <w:t xml:space="preserve"> </w:t>
      </w:r>
      <w:r>
        <w:t>진입</w:t>
      </w:r>
      <w:r>
        <w:t xml:space="preserve"> </w:t>
      </w:r>
      <w:r>
        <w:t>가능성</w:t>
      </w:r>
    </w:p>
    <w:p w14:paraId="4966B592" w14:textId="77777777" w:rsidR="004B0D7A" w:rsidRDefault="00000000">
      <w:r>
        <w:t>The initial target segment—research labs, clinical research groups, and imaging-focused innovation teams—allows SQK to commercialize with lower organizational resistance than a full hospital-wide sales motion. This reduces time-to-evidence and time-to-revenue.</w:t>
      </w:r>
    </w:p>
    <w:p w14:paraId="04506EFF" w14:textId="77777777" w:rsidR="004B0D7A" w:rsidRDefault="00000000">
      <w:pPr>
        <w:pStyle w:val="SectionTitle"/>
      </w:pPr>
      <w:r>
        <w:t xml:space="preserve">2.5 </w:t>
      </w:r>
      <w:r>
        <w:t>중장기</w:t>
      </w:r>
      <w:r>
        <w:t xml:space="preserve"> </w:t>
      </w:r>
      <w:r>
        <w:t>확장성</w:t>
      </w:r>
    </w:p>
    <w:p w14:paraId="1CBECEA8" w14:textId="77777777" w:rsidR="004B0D7A" w:rsidRDefault="00000000">
      <w:r>
        <w:t>Once product maturity and validation accumulate, QMEDIC can expand into hospital specialty workflows, B2B infrastructure roles for medical-AI firms, enterprise imaging integration, and OEM or platform partnerships.</w:t>
      </w:r>
    </w:p>
    <w:p w14:paraId="5F0AC857" w14:textId="77777777" w:rsidR="004B0D7A" w:rsidRDefault="00000000">
      <w:pPr>
        <w:pStyle w:val="SectionTitle"/>
      </w:pPr>
      <w:r>
        <w:t xml:space="preserve">2.6 </w:t>
      </w:r>
      <w:r>
        <w:t>투자</w:t>
      </w:r>
      <w:r>
        <w:t xml:space="preserve"> </w:t>
      </w:r>
      <w:r>
        <w:t>매력도</w:t>
      </w:r>
      <w:r>
        <w:t xml:space="preserve"> </w:t>
      </w:r>
      <w:r>
        <w:t>요약</w:t>
      </w:r>
    </w:p>
    <w:p w14:paraId="3BB48C1F" w14:textId="77777777" w:rsidR="004B0D7A" w:rsidRDefault="00000000">
      <w:r>
        <w:t>QMEDIC offers a combination that is unusual in deep tech: a technically differentiated platform, an operationally realistic commercialization path, and a regulatory-readiness narrative that can compound strategic value over time.</w:t>
      </w:r>
    </w:p>
    <w:tbl>
      <w:tblPr>
        <w:tblStyle w:val="af9"/>
        <w:tblW w:w="0" w:type="auto"/>
        <w:jc w:val="center"/>
        <w:tblLook w:val="04A0" w:firstRow="1" w:lastRow="0" w:firstColumn="1" w:lastColumn="0" w:noHBand="0" w:noVBand="1"/>
      </w:tblPr>
      <w:tblGrid>
        <w:gridCol w:w="2448"/>
        <w:gridCol w:w="7056"/>
      </w:tblGrid>
      <w:tr w:rsidR="004B0D7A" w14:paraId="7249D6A6" w14:textId="77777777">
        <w:trPr>
          <w:jc w:val="center"/>
        </w:trPr>
        <w:tc>
          <w:tcPr>
            <w:tcW w:w="2448" w:type="dxa"/>
            <w:shd w:val="clear" w:color="auto" w:fill="D9E7F7"/>
            <w:tcMar>
              <w:top w:w="90" w:type="dxa"/>
              <w:left w:w="90" w:type="dxa"/>
              <w:bottom w:w="90" w:type="dxa"/>
              <w:right w:w="90" w:type="dxa"/>
            </w:tcMar>
            <w:vAlign w:val="center"/>
          </w:tcPr>
          <w:p w14:paraId="187044ED" w14:textId="77777777" w:rsidR="004B0D7A" w:rsidRDefault="00000000">
            <w:r>
              <w:rPr>
                <w:b/>
                <w:color w:val="172C58"/>
              </w:rPr>
              <w:t>Theme</w:t>
            </w:r>
          </w:p>
        </w:tc>
        <w:tc>
          <w:tcPr>
            <w:tcW w:w="7056" w:type="dxa"/>
            <w:shd w:val="clear" w:color="auto" w:fill="D9E7F7"/>
            <w:tcMar>
              <w:top w:w="90" w:type="dxa"/>
              <w:left w:w="90" w:type="dxa"/>
              <w:bottom w:w="90" w:type="dxa"/>
              <w:right w:w="90" w:type="dxa"/>
            </w:tcMar>
            <w:vAlign w:val="center"/>
          </w:tcPr>
          <w:p w14:paraId="2610EC66" w14:textId="77777777" w:rsidR="004B0D7A" w:rsidRDefault="00000000">
            <w:r>
              <w:rPr>
                <w:b/>
                <w:color w:val="172C58"/>
              </w:rPr>
              <w:t>Summary</w:t>
            </w:r>
          </w:p>
        </w:tc>
      </w:tr>
      <w:tr w:rsidR="004B0D7A" w14:paraId="4FB607C5" w14:textId="77777777">
        <w:trPr>
          <w:jc w:val="center"/>
        </w:trPr>
        <w:tc>
          <w:tcPr>
            <w:tcW w:w="2448" w:type="dxa"/>
            <w:tcMar>
              <w:top w:w="90" w:type="dxa"/>
              <w:left w:w="90" w:type="dxa"/>
              <w:bottom w:w="90" w:type="dxa"/>
              <w:right w:w="90" w:type="dxa"/>
            </w:tcMar>
            <w:vAlign w:val="center"/>
          </w:tcPr>
          <w:p w14:paraId="15BC9718" w14:textId="77777777" w:rsidR="004B0D7A" w:rsidRDefault="00000000">
            <w:r>
              <w:t>Why now</w:t>
            </w:r>
          </w:p>
        </w:tc>
        <w:tc>
          <w:tcPr>
            <w:tcW w:w="7056" w:type="dxa"/>
            <w:tcMar>
              <w:top w:w="90" w:type="dxa"/>
              <w:left w:w="90" w:type="dxa"/>
              <w:bottom w:w="90" w:type="dxa"/>
              <w:right w:w="90" w:type="dxa"/>
            </w:tcMar>
            <w:vAlign w:val="center"/>
          </w:tcPr>
          <w:p w14:paraId="7EFD1FB3" w14:textId="77777777" w:rsidR="004B0D7A" w:rsidRDefault="00000000">
            <w:r>
              <w:t>Healthcare AI is shifting toward deployment-quality systems with lifecycle, traceability, and compliance expectations.</w:t>
            </w:r>
          </w:p>
        </w:tc>
      </w:tr>
      <w:tr w:rsidR="004B0D7A" w14:paraId="1CBF1F67" w14:textId="77777777">
        <w:trPr>
          <w:jc w:val="center"/>
        </w:trPr>
        <w:tc>
          <w:tcPr>
            <w:tcW w:w="2448" w:type="dxa"/>
            <w:tcMar>
              <w:top w:w="90" w:type="dxa"/>
              <w:left w:w="90" w:type="dxa"/>
              <w:bottom w:w="90" w:type="dxa"/>
              <w:right w:w="90" w:type="dxa"/>
            </w:tcMar>
            <w:vAlign w:val="center"/>
          </w:tcPr>
          <w:p w14:paraId="1554E038" w14:textId="77777777" w:rsidR="004B0D7A" w:rsidRDefault="00000000">
            <w:r>
              <w:t>Why SQK</w:t>
            </w:r>
          </w:p>
        </w:tc>
        <w:tc>
          <w:tcPr>
            <w:tcW w:w="7056" w:type="dxa"/>
            <w:tcMar>
              <w:top w:w="90" w:type="dxa"/>
              <w:left w:w="90" w:type="dxa"/>
              <w:bottom w:w="90" w:type="dxa"/>
              <w:right w:w="90" w:type="dxa"/>
            </w:tcMar>
            <w:vAlign w:val="center"/>
          </w:tcPr>
          <w:p w14:paraId="742A7B0A" w14:textId="77777777" w:rsidR="004B0D7A" w:rsidRDefault="00000000">
            <w:r>
              <w:t>SQK combines deep technical specialization with platform thinking and commercialization intent.</w:t>
            </w:r>
          </w:p>
        </w:tc>
      </w:tr>
      <w:tr w:rsidR="004B0D7A" w14:paraId="2BC035E7" w14:textId="77777777">
        <w:trPr>
          <w:jc w:val="center"/>
        </w:trPr>
        <w:tc>
          <w:tcPr>
            <w:tcW w:w="2448" w:type="dxa"/>
            <w:tcMar>
              <w:top w:w="90" w:type="dxa"/>
              <w:left w:w="90" w:type="dxa"/>
              <w:bottom w:w="90" w:type="dxa"/>
              <w:right w:w="90" w:type="dxa"/>
            </w:tcMar>
            <w:vAlign w:val="center"/>
          </w:tcPr>
          <w:p w14:paraId="6B247421" w14:textId="77777777" w:rsidR="004B0D7A" w:rsidRDefault="00000000">
            <w:r>
              <w:t>Near-term wedge</w:t>
            </w:r>
          </w:p>
        </w:tc>
        <w:tc>
          <w:tcPr>
            <w:tcW w:w="7056" w:type="dxa"/>
            <w:tcMar>
              <w:top w:w="90" w:type="dxa"/>
              <w:left w:w="90" w:type="dxa"/>
              <w:bottom w:w="90" w:type="dxa"/>
              <w:right w:w="90" w:type="dxa"/>
            </w:tcMar>
            <w:vAlign w:val="center"/>
          </w:tcPr>
          <w:p w14:paraId="7087FB4A" w14:textId="77777777" w:rsidR="004B0D7A" w:rsidRDefault="00000000">
            <w:r>
              <w:t xml:space="preserve">Research-use SaaS/API deployments with real customer feedback and </w:t>
            </w:r>
            <w:r>
              <w:lastRenderedPageBreak/>
              <w:t>evidence generation.</w:t>
            </w:r>
          </w:p>
        </w:tc>
      </w:tr>
      <w:tr w:rsidR="004B0D7A" w14:paraId="59B4881F" w14:textId="77777777">
        <w:trPr>
          <w:jc w:val="center"/>
        </w:trPr>
        <w:tc>
          <w:tcPr>
            <w:tcW w:w="2448" w:type="dxa"/>
            <w:tcMar>
              <w:top w:w="90" w:type="dxa"/>
              <w:left w:w="90" w:type="dxa"/>
              <w:bottom w:w="90" w:type="dxa"/>
              <w:right w:w="90" w:type="dxa"/>
            </w:tcMar>
            <w:vAlign w:val="center"/>
          </w:tcPr>
          <w:p w14:paraId="07E0A7AD" w14:textId="77777777" w:rsidR="004B0D7A" w:rsidRDefault="00000000">
            <w:r>
              <w:lastRenderedPageBreak/>
              <w:t>Long-term value</w:t>
            </w:r>
          </w:p>
        </w:tc>
        <w:tc>
          <w:tcPr>
            <w:tcW w:w="7056" w:type="dxa"/>
            <w:tcMar>
              <w:top w:w="90" w:type="dxa"/>
              <w:left w:w="90" w:type="dxa"/>
              <w:bottom w:w="90" w:type="dxa"/>
              <w:right w:w="90" w:type="dxa"/>
            </w:tcMar>
            <w:vAlign w:val="center"/>
          </w:tcPr>
          <w:p w14:paraId="508D59A2" w14:textId="77777777" w:rsidR="004B0D7A" w:rsidRDefault="00000000">
            <w:r>
              <w:t>Expansion to hospitals, B2B licensing, OEM/platform integration, and regulated workflows.</w:t>
            </w:r>
          </w:p>
        </w:tc>
      </w:tr>
    </w:tbl>
    <w:p w14:paraId="76D7879B" w14:textId="7BB8C7B7" w:rsidR="00BE3193" w:rsidRDefault="00BE3193" w:rsidP="00BE3193"/>
    <w:p w14:paraId="3B2162F3" w14:textId="63420570" w:rsidR="004B0D7A" w:rsidRDefault="00000000">
      <w:pPr>
        <w:pStyle w:val="ChapterTitle"/>
        <w:rPr>
          <w:lang w:eastAsia="ko-KR"/>
        </w:rPr>
      </w:pPr>
      <w:r>
        <w:rPr>
          <w:lang w:eastAsia="ko-KR"/>
        </w:rPr>
        <w:t>3. Problem &amp; Unmet Need</w:t>
      </w:r>
    </w:p>
    <w:p w14:paraId="0ADDE204" w14:textId="77777777" w:rsidR="004B0D7A" w:rsidRDefault="00000000">
      <w:pPr>
        <w:pStyle w:val="SectionTitle"/>
        <w:rPr>
          <w:lang w:eastAsia="ko-KR"/>
        </w:rPr>
      </w:pPr>
      <w:r>
        <w:rPr>
          <w:lang w:eastAsia="ko-KR"/>
        </w:rPr>
        <w:t xml:space="preserve">3.1 </w:t>
      </w:r>
      <w:r>
        <w:rPr>
          <w:lang w:eastAsia="ko-KR"/>
        </w:rPr>
        <w:t>의료영상</w:t>
      </w:r>
      <w:r>
        <w:rPr>
          <w:lang w:eastAsia="ko-KR"/>
        </w:rPr>
        <w:t xml:space="preserve"> AI </w:t>
      </w:r>
      <w:r>
        <w:rPr>
          <w:lang w:eastAsia="ko-KR"/>
        </w:rPr>
        <w:t>및</w:t>
      </w:r>
      <w:r>
        <w:rPr>
          <w:lang w:eastAsia="ko-KR"/>
        </w:rPr>
        <w:t xml:space="preserve"> </w:t>
      </w:r>
      <w:r>
        <w:rPr>
          <w:lang w:eastAsia="ko-KR"/>
        </w:rPr>
        <w:t>재건</w:t>
      </w:r>
      <w:r>
        <w:rPr>
          <w:lang w:eastAsia="ko-KR"/>
        </w:rPr>
        <w:t xml:space="preserve"> </w:t>
      </w:r>
      <w:r>
        <w:rPr>
          <w:lang w:eastAsia="ko-KR"/>
        </w:rPr>
        <w:t>시장의</w:t>
      </w:r>
      <w:r>
        <w:rPr>
          <w:lang w:eastAsia="ko-KR"/>
        </w:rPr>
        <w:t xml:space="preserve"> </w:t>
      </w:r>
      <w:r>
        <w:rPr>
          <w:lang w:eastAsia="ko-KR"/>
        </w:rPr>
        <w:t>구조적</w:t>
      </w:r>
      <w:r>
        <w:rPr>
          <w:lang w:eastAsia="ko-KR"/>
        </w:rPr>
        <w:t xml:space="preserve"> </w:t>
      </w:r>
      <w:r>
        <w:rPr>
          <w:lang w:eastAsia="ko-KR"/>
        </w:rPr>
        <w:t>문제</w:t>
      </w:r>
    </w:p>
    <w:p w14:paraId="7D346FD8" w14:textId="77777777" w:rsidR="004B0D7A" w:rsidRDefault="00000000">
      <w:r>
        <w:t>The imaging AI market has devoted substantial attention to downstream tasks such as lesion detection, triage, reporting support, and classification. Yet the reliability of those downstream systems often depends on the trustworthiness of the upstream image generation, reconstruction, and refinement pipeline.</w:t>
      </w:r>
    </w:p>
    <w:p w14:paraId="5FB39ABE" w14:textId="77777777" w:rsidR="004B0D7A" w:rsidRDefault="00000000">
      <w:r>
        <w:t>When errors enter at the reconstruction layer, they do not remain isolated. They propagate into model training, reader confidence, longitudinal follow-up, biomarker extraction, and quality assurance workflows. As a result, the need for a reliability-centered reconstruction layer is more structural than cosmetic.</w:t>
      </w:r>
    </w:p>
    <w:p w14:paraId="08444CCF" w14:textId="77777777" w:rsidR="004B0D7A" w:rsidRDefault="00000000">
      <w:pPr>
        <w:pStyle w:val="SectionTitle"/>
        <w:rPr>
          <w:lang w:eastAsia="ko-KR"/>
        </w:rPr>
      </w:pPr>
      <w:r>
        <w:rPr>
          <w:lang w:eastAsia="ko-KR"/>
        </w:rPr>
        <w:t xml:space="preserve">3.2 </w:t>
      </w:r>
      <w:r>
        <w:rPr>
          <w:lang w:eastAsia="ko-KR"/>
        </w:rPr>
        <w:t>기존</w:t>
      </w:r>
      <w:r>
        <w:rPr>
          <w:lang w:eastAsia="ko-KR"/>
        </w:rPr>
        <w:t xml:space="preserve"> </w:t>
      </w:r>
      <w:r>
        <w:rPr>
          <w:lang w:eastAsia="ko-KR"/>
        </w:rPr>
        <w:t>영상개선</w:t>
      </w:r>
      <w:r>
        <w:rPr>
          <w:lang w:eastAsia="ko-KR"/>
        </w:rPr>
        <w:t xml:space="preserve"> AI</w:t>
      </w:r>
      <w:r>
        <w:rPr>
          <w:lang w:eastAsia="ko-KR"/>
        </w:rPr>
        <w:t>의</w:t>
      </w:r>
      <w:r>
        <w:rPr>
          <w:lang w:eastAsia="ko-KR"/>
        </w:rPr>
        <w:t xml:space="preserve"> </w:t>
      </w:r>
      <w:r>
        <w:rPr>
          <w:lang w:eastAsia="ko-KR"/>
        </w:rPr>
        <w:t>한계</w:t>
      </w:r>
    </w:p>
    <w:p w14:paraId="3F435640" w14:textId="77777777" w:rsidR="004B0D7A" w:rsidRDefault="00000000">
      <w:r>
        <w:t>Many image enhancement systems are optimized for visual sharpness or benchmark improvements but do not provide sufficient transparency into what was inferred, what was constrained, and what may have been altered in clinically meaningful ways.</w:t>
      </w:r>
    </w:p>
    <w:p w14:paraId="15509FCE" w14:textId="77777777" w:rsidR="004B0D7A" w:rsidRDefault="00000000">
      <w:r>
        <w:t>In practice, clinical users and research teams often need to know not only whether an image looks cleaner, but whether the system preserved anatomical integrity, avoided hallucinated structure, and can explain how the result was produced.</w:t>
      </w:r>
    </w:p>
    <w:p w14:paraId="510F7169" w14:textId="77777777" w:rsidR="004B0D7A" w:rsidRDefault="00000000">
      <w:pPr>
        <w:pStyle w:val="SectionTitle"/>
      </w:pPr>
      <w:r>
        <w:t>3.3 Hallucination</w:t>
      </w:r>
      <w:r>
        <w:t>과</w:t>
      </w:r>
      <w:r>
        <w:t xml:space="preserve"> </w:t>
      </w:r>
      <w:r>
        <w:t>물리</w:t>
      </w:r>
      <w:r>
        <w:t xml:space="preserve"> </w:t>
      </w:r>
      <w:r>
        <w:t>일관성</w:t>
      </w:r>
      <w:r>
        <w:t xml:space="preserve"> </w:t>
      </w:r>
      <w:r>
        <w:t>문제</w:t>
      </w:r>
    </w:p>
    <w:p w14:paraId="587E9F3C" w14:textId="77777777" w:rsidR="004B0D7A" w:rsidRDefault="00000000">
      <w:r>
        <w:t>In medical imaging, hallucination is not a trivial side effect. It may manifest as false texture, distorted boundary geometry, masked pathology, or over-regularized anatomy. Even subtle distortions can matter in oncology follow-up, low-dose settings, and biomarker-driven workflows.</w:t>
      </w:r>
    </w:p>
    <w:p w14:paraId="0CAFB5B0" w14:textId="77777777" w:rsidR="004B0D7A" w:rsidRDefault="00000000">
      <w:r>
        <w:t>QMEDIC addresses this challenge by framing hallucination suppression as a system-level problem involving reconstruction constraints, residual review, confidence signaling, and operator-facing quality interpretation.</w:t>
      </w:r>
    </w:p>
    <w:p w14:paraId="4BD9E233" w14:textId="77777777" w:rsidR="004B0D7A" w:rsidRDefault="00000000">
      <w:pPr>
        <w:pStyle w:val="SectionTitle"/>
      </w:pPr>
      <w:r>
        <w:t xml:space="preserve">3.4 </w:t>
      </w:r>
      <w:r>
        <w:t>임상</w:t>
      </w:r>
      <w:r>
        <w:t xml:space="preserve"> </w:t>
      </w:r>
      <w:r>
        <w:t>현장의</w:t>
      </w:r>
      <w:r>
        <w:t xml:space="preserve"> </w:t>
      </w:r>
      <w:r>
        <w:t>미충족</w:t>
      </w:r>
      <w:r>
        <w:t xml:space="preserve"> </w:t>
      </w:r>
      <w:r>
        <w:t>수요</w:t>
      </w:r>
    </w:p>
    <w:p w14:paraId="00C7A063" w14:textId="77777777" w:rsidR="004B0D7A" w:rsidRDefault="00000000">
      <w:r>
        <w:t>Clinical and research environments consistently need trustworthy low-dose workflows, stronger quality documentation, easier integration with DICOM/PACS and analytics pipelines, and software outputs that can be defended to medical, operational, and regulatory stakeholders.</w:t>
      </w:r>
    </w:p>
    <w:p w14:paraId="0560B1FC" w14:textId="77777777" w:rsidR="004B0D7A" w:rsidRDefault="00000000">
      <w:r>
        <w:t>Many existing products only solve part of this requirement set. QMEDIC is intended to unify image improvement, QC, auditability, and workflow support.</w:t>
      </w:r>
    </w:p>
    <w:p w14:paraId="6998D6FA" w14:textId="77777777" w:rsidR="004B0D7A" w:rsidRDefault="00000000">
      <w:pPr>
        <w:pStyle w:val="SectionTitle"/>
        <w:rPr>
          <w:lang w:eastAsia="ko-KR"/>
        </w:rPr>
      </w:pPr>
      <w:r>
        <w:rPr>
          <w:lang w:eastAsia="ko-KR"/>
        </w:rPr>
        <w:lastRenderedPageBreak/>
        <w:t xml:space="preserve">3.5 </w:t>
      </w:r>
      <w:r>
        <w:rPr>
          <w:lang w:eastAsia="ko-KR"/>
        </w:rPr>
        <w:t>고객이</w:t>
      </w:r>
      <w:r>
        <w:rPr>
          <w:lang w:eastAsia="ko-KR"/>
        </w:rPr>
        <w:t xml:space="preserve"> </w:t>
      </w:r>
      <w:r>
        <w:rPr>
          <w:lang w:eastAsia="ko-KR"/>
        </w:rPr>
        <w:t>실제로</w:t>
      </w:r>
      <w:r>
        <w:rPr>
          <w:lang w:eastAsia="ko-KR"/>
        </w:rPr>
        <w:t xml:space="preserve"> </w:t>
      </w:r>
      <w:r>
        <w:rPr>
          <w:lang w:eastAsia="ko-KR"/>
        </w:rPr>
        <w:t>비용을</w:t>
      </w:r>
      <w:r>
        <w:rPr>
          <w:lang w:eastAsia="ko-KR"/>
        </w:rPr>
        <w:t xml:space="preserve"> </w:t>
      </w:r>
      <w:r>
        <w:rPr>
          <w:lang w:eastAsia="ko-KR"/>
        </w:rPr>
        <w:t>지불할</w:t>
      </w:r>
      <w:r>
        <w:rPr>
          <w:lang w:eastAsia="ko-KR"/>
        </w:rPr>
        <w:t xml:space="preserve"> </w:t>
      </w:r>
      <w:r>
        <w:rPr>
          <w:lang w:eastAsia="ko-KR"/>
        </w:rPr>
        <w:t>이유</w:t>
      </w:r>
    </w:p>
    <w:p w14:paraId="277C36A1" w14:textId="77777777" w:rsidR="004B0D7A" w:rsidRDefault="00000000">
      <w:r>
        <w:t>Customers are willing to pay when the software improves throughput, reduces rework, increases confidence in low-quality or low-dose data, enables more reliable research results, and lowers future validation or regulatory effort.</w:t>
      </w:r>
    </w:p>
    <w:p w14:paraId="7D83325B" w14:textId="77777777" w:rsidR="00BE3193" w:rsidRDefault="00000000" w:rsidP="00BE3193">
      <w:r>
        <w:t>QMEDIC is therefore positioned not only as a technology purchase but also as a risk-management, workflow, and commercialization-enabling asset.</w:t>
      </w:r>
    </w:p>
    <w:p w14:paraId="3A177822" w14:textId="2D2FBB34" w:rsidR="00BE3193" w:rsidRDefault="00BE3193" w:rsidP="00BE3193"/>
    <w:p w14:paraId="6485B0E9" w14:textId="7F033BBB" w:rsidR="004B0D7A" w:rsidRDefault="00000000">
      <w:pPr>
        <w:pStyle w:val="ChapterTitle"/>
      </w:pPr>
      <w:r>
        <w:t>4. Solution Overview: QMEDIC</w:t>
      </w:r>
    </w:p>
    <w:p w14:paraId="77E0B5FB" w14:textId="77777777" w:rsidR="004B0D7A" w:rsidRDefault="00000000">
      <w:pPr>
        <w:pStyle w:val="SectionTitle"/>
      </w:pPr>
      <w:r>
        <w:t xml:space="preserve">4.1 QMEDIC </w:t>
      </w:r>
      <w:r>
        <w:t>개요</w:t>
      </w:r>
    </w:p>
    <w:p w14:paraId="02B24823" w14:textId="77777777" w:rsidR="004B0D7A" w:rsidRDefault="00000000">
      <w:r>
        <w:t>QMEDIC is a medical imaging reconstruction and refinement platform designed for high-trust environments. It supports image processing, quality control, evidence capture, API delivery, and an AI-native Co-pilot layer in a single product strategy.</w:t>
      </w:r>
    </w:p>
    <w:p w14:paraId="0C861433" w14:textId="77777777" w:rsidR="004B0D7A" w:rsidRDefault="00000000">
      <w:r>
        <w:t>The near-term commercialization target is an AWS Healthcare-based SaaS/API deployment model for research institutes and clinical research groups, with gradual expansion into broader enterprise and regulated settings.</w:t>
      </w:r>
    </w:p>
    <w:p w14:paraId="0EC1A5D3" w14:textId="77777777" w:rsidR="004B0D7A" w:rsidRDefault="00000000">
      <w:pPr>
        <w:pStyle w:val="SectionTitle"/>
      </w:pPr>
      <w:r>
        <w:t xml:space="preserve">4.2 </w:t>
      </w:r>
      <w:r>
        <w:t>핵심</w:t>
      </w:r>
      <w:r>
        <w:t xml:space="preserve"> </w:t>
      </w:r>
      <w:r>
        <w:t>기능</w:t>
      </w:r>
      <w:r>
        <w:t xml:space="preserve"> </w:t>
      </w:r>
      <w:r>
        <w:t>및</w:t>
      </w:r>
      <w:r>
        <w:t xml:space="preserve"> </w:t>
      </w:r>
      <w:r>
        <w:t>가치</w:t>
      </w:r>
      <w:r>
        <w:t xml:space="preserve"> </w:t>
      </w:r>
      <w:r>
        <w:t>제안</w:t>
      </w:r>
    </w:p>
    <w:p w14:paraId="36034A17" w14:textId="77777777" w:rsidR="004B0D7A" w:rsidRDefault="00000000">
      <w:r>
        <w:t>Core platform functions include physics-constrained reconstruction, guarded refinement, artifact handling, consistency checks, confidence outputs, auditability, and auto-generated QC or workflow summaries.</w:t>
      </w:r>
    </w:p>
    <w:p w14:paraId="373E12A9" w14:textId="77777777" w:rsidR="004B0D7A" w:rsidRDefault="00000000">
      <w:r>
        <w:t>The value proposition is that QMEDIC provides a defensible improvement path rather than uncontrolled enhancement. It is designed to be useful in both real-time workflow support and evidence-building contexts.</w:t>
      </w:r>
    </w:p>
    <w:p w14:paraId="635EA553" w14:textId="77777777" w:rsidR="004B0D7A" w:rsidRDefault="00000000">
      <w:pPr>
        <w:pStyle w:val="SectionTitle"/>
        <w:rPr>
          <w:lang w:eastAsia="ko-KR"/>
        </w:rPr>
      </w:pPr>
      <w:r>
        <w:rPr>
          <w:lang w:eastAsia="ko-KR"/>
        </w:rPr>
        <w:t xml:space="preserve">4.3 </w:t>
      </w:r>
      <w:r>
        <w:rPr>
          <w:lang w:eastAsia="ko-KR"/>
        </w:rPr>
        <w:t>적용</w:t>
      </w:r>
      <w:r>
        <w:rPr>
          <w:lang w:eastAsia="ko-KR"/>
        </w:rPr>
        <w:t xml:space="preserve"> </w:t>
      </w:r>
      <w:r>
        <w:rPr>
          <w:lang w:eastAsia="ko-KR"/>
        </w:rPr>
        <w:t>대상</w:t>
      </w:r>
      <w:r>
        <w:rPr>
          <w:lang w:eastAsia="ko-KR"/>
        </w:rPr>
        <w:t xml:space="preserve">(CT, MRI </w:t>
      </w:r>
      <w:r>
        <w:rPr>
          <w:lang w:eastAsia="ko-KR"/>
        </w:rPr>
        <w:t>등</w:t>
      </w:r>
      <w:r>
        <w:rPr>
          <w:lang w:eastAsia="ko-KR"/>
        </w:rPr>
        <w:t>)</w:t>
      </w:r>
    </w:p>
    <w:p w14:paraId="40F94961" w14:textId="77777777" w:rsidR="004B0D7A" w:rsidRDefault="00000000">
      <w:r>
        <w:t>The initial focus is on CT and MRI, especially lower-dose, artifact-prone, protocol-variable, or research-sensitive use cases. The product can later extend toward broader multimodal imaging and adjacent scientific domains.</w:t>
      </w:r>
    </w:p>
    <w:p w14:paraId="3680DB1E" w14:textId="77777777" w:rsidR="004B0D7A" w:rsidRDefault="00000000">
      <w:pPr>
        <w:pStyle w:val="SectionTitle"/>
      </w:pPr>
      <w:r>
        <w:t xml:space="preserve">4.4 </w:t>
      </w:r>
      <w:r>
        <w:t>고객</w:t>
      </w:r>
      <w:r>
        <w:t xml:space="preserve"> </w:t>
      </w:r>
      <w:r>
        <w:t>관점의</w:t>
      </w:r>
      <w:r>
        <w:t xml:space="preserve"> </w:t>
      </w:r>
      <w:r>
        <w:t>도입</w:t>
      </w:r>
      <w:r>
        <w:t xml:space="preserve"> </w:t>
      </w:r>
      <w:r>
        <w:t>효과</w:t>
      </w:r>
    </w:p>
    <w:p w14:paraId="0862CF51" w14:textId="77777777" w:rsidR="004B0D7A" w:rsidRDefault="00000000">
      <w:r>
        <w:t>For research organizations, QMEDIC increases repeatability and evidence quality. For medical-AI companies, it improves input data reliability and can become a reusable API service. For hospitals and enterprise imaging teams, it offers a pathway to controlled image-quality augmentation and workflow standardization.</w:t>
      </w:r>
    </w:p>
    <w:p w14:paraId="51B7F97E" w14:textId="77777777" w:rsidR="004B0D7A" w:rsidRDefault="00000000">
      <w:pPr>
        <w:pStyle w:val="SectionTitle"/>
        <w:rPr>
          <w:lang w:eastAsia="ko-KR"/>
        </w:rPr>
      </w:pPr>
      <w:r>
        <w:rPr>
          <w:lang w:eastAsia="ko-KR"/>
        </w:rPr>
        <w:t xml:space="preserve">4.5 </w:t>
      </w:r>
      <w:r>
        <w:rPr>
          <w:lang w:eastAsia="ko-KR"/>
        </w:rPr>
        <w:t>기존</w:t>
      </w:r>
      <w:r>
        <w:rPr>
          <w:lang w:eastAsia="ko-KR"/>
        </w:rPr>
        <w:t xml:space="preserve"> </w:t>
      </w:r>
      <w:r>
        <w:rPr>
          <w:lang w:eastAsia="ko-KR"/>
        </w:rPr>
        <w:t>솔루션</w:t>
      </w:r>
      <w:r>
        <w:rPr>
          <w:lang w:eastAsia="ko-KR"/>
        </w:rPr>
        <w:t xml:space="preserve"> </w:t>
      </w:r>
      <w:r>
        <w:rPr>
          <w:lang w:eastAsia="ko-KR"/>
        </w:rPr>
        <w:t>대비</w:t>
      </w:r>
      <w:r>
        <w:rPr>
          <w:lang w:eastAsia="ko-KR"/>
        </w:rPr>
        <w:t xml:space="preserve"> </w:t>
      </w:r>
      <w:r>
        <w:rPr>
          <w:lang w:eastAsia="ko-KR"/>
        </w:rPr>
        <w:t>기대</w:t>
      </w:r>
      <w:r>
        <w:rPr>
          <w:lang w:eastAsia="ko-KR"/>
        </w:rPr>
        <w:t xml:space="preserve"> </w:t>
      </w:r>
      <w:r>
        <w:rPr>
          <w:lang w:eastAsia="ko-KR"/>
        </w:rPr>
        <w:t>성과</w:t>
      </w:r>
    </w:p>
    <w:p w14:paraId="19EB30EA" w14:textId="77777777" w:rsidR="004B0D7A" w:rsidRDefault="00000000">
      <w:r>
        <w:t>QMEDIC is expected to outperform typical enhancement-only products not simply by better image metrics, but by combining quality improvement with quality governance. That combination is more aligned with real purchasing decisions.</w:t>
      </w:r>
    </w:p>
    <w:p w14:paraId="6EC04830" w14:textId="77777777" w:rsidR="004B0D7A" w:rsidRDefault="00000000">
      <w:r>
        <w:br w:type="page"/>
      </w:r>
    </w:p>
    <w:p w14:paraId="619E48B4" w14:textId="77777777" w:rsidR="004B0D7A" w:rsidRDefault="00000000">
      <w:pPr>
        <w:pStyle w:val="ChapterTitle"/>
      </w:pPr>
      <w:r>
        <w:lastRenderedPageBreak/>
        <w:t>5. Market Opportunity</w:t>
      </w:r>
    </w:p>
    <w:p w14:paraId="1058178E" w14:textId="77777777" w:rsidR="004B0D7A" w:rsidRDefault="00000000">
      <w:pPr>
        <w:pStyle w:val="SectionTitle"/>
      </w:pPr>
      <w:r>
        <w:t xml:space="preserve">5.1 </w:t>
      </w:r>
      <w:r>
        <w:t>타깃</w:t>
      </w:r>
      <w:r>
        <w:t xml:space="preserve"> </w:t>
      </w:r>
      <w:r>
        <w:t>시장</w:t>
      </w:r>
      <w:r>
        <w:t xml:space="preserve"> </w:t>
      </w:r>
      <w:r>
        <w:t>정의</w:t>
      </w:r>
    </w:p>
    <w:p w14:paraId="1E8C6739" w14:textId="77777777" w:rsidR="004B0D7A" w:rsidRDefault="00000000">
      <w:r>
        <w:t>QMEDIC addresses three concentric markets: research and clinical research institutions, hospital and imaging-center workflows, and B2B software or platform partners such as medical-AI companies, PACS providers, and imaging-software integrators.</w:t>
      </w:r>
    </w:p>
    <w:p w14:paraId="0B60B7DF" w14:textId="77777777" w:rsidR="004B0D7A" w:rsidRDefault="00000000">
      <w:pPr>
        <w:pStyle w:val="SectionTitle"/>
      </w:pPr>
      <w:r>
        <w:t>5.2 TAM / SAM / SOM</w:t>
      </w:r>
    </w:p>
    <w:p w14:paraId="187AA867" w14:textId="77777777" w:rsidR="004B0D7A" w:rsidRDefault="00000000">
      <w:r>
        <w:t>The broad TAM includes AI in medical imaging and adjacent medical-imaging software markets. The practical SAM is the subset of CT/MRI-focused organizations that can adopt a reconstruction/refinement platform through cloud or API delivery. SQK’s initial SOM should be modeled bottom-up through design partners, paid pilots, annual subscription tiers, and repeat study volume.</w:t>
      </w:r>
    </w:p>
    <w:p w14:paraId="349B2859" w14:textId="77777777" w:rsidR="004B0D7A" w:rsidRDefault="00000000">
      <w:pPr>
        <w:pStyle w:val="SectionTitle"/>
      </w:pPr>
      <w:r>
        <w:t xml:space="preserve">5.3 </w:t>
      </w:r>
      <w:r>
        <w:t>시장</w:t>
      </w:r>
      <w:r>
        <w:t xml:space="preserve"> </w:t>
      </w:r>
      <w:r>
        <w:t>성장</w:t>
      </w:r>
      <w:r>
        <w:t xml:space="preserve"> </w:t>
      </w:r>
      <w:r>
        <w:t>배경</w:t>
      </w:r>
    </w:p>
    <w:p w14:paraId="3F67A943" w14:textId="77777777" w:rsidR="004B0D7A" w:rsidRDefault="00000000">
      <w:r>
        <w:t>Growth drivers include increasing imaging volumes, demand for standardization across sites, low-dose imaging requirements, pressure on radiology throughput, growth in AI-driven workflows, and the need for reliable data in biomarker and precision-medicine studies.</w:t>
      </w:r>
    </w:p>
    <w:p w14:paraId="06D53B65" w14:textId="77777777" w:rsidR="004B0D7A" w:rsidRDefault="00000000">
      <w:pPr>
        <w:pStyle w:val="SectionTitle"/>
        <w:rPr>
          <w:lang w:eastAsia="ko-KR"/>
        </w:rPr>
      </w:pPr>
      <w:r>
        <w:rPr>
          <w:lang w:eastAsia="ko-KR"/>
        </w:rPr>
        <w:t xml:space="preserve">5.4 </w:t>
      </w:r>
      <w:r>
        <w:rPr>
          <w:lang w:eastAsia="ko-KR"/>
        </w:rPr>
        <w:t>초기</w:t>
      </w:r>
      <w:r>
        <w:rPr>
          <w:lang w:eastAsia="ko-KR"/>
        </w:rPr>
        <w:t xml:space="preserve"> </w:t>
      </w:r>
      <w:r>
        <w:rPr>
          <w:lang w:eastAsia="ko-KR"/>
        </w:rPr>
        <w:t>진입</w:t>
      </w:r>
      <w:r>
        <w:rPr>
          <w:lang w:eastAsia="ko-KR"/>
        </w:rPr>
        <w:t xml:space="preserve"> </w:t>
      </w:r>
      <w:r>
        <w:rPr>
          <w:lang w:eastAsia="ko-KR"/>
        </w:rPr>
        <w:t>시장과</w:t>
      </w:r>
      <w:r>
        <w:rPr>
          <w:lang w:eastAsia="ko-KR"/>
        </w:rPr>
        <w:t xml:space="preserve"> </w:t>
      </w:r>
      <w:r>
        <w:rPr>
          <w:lang w:eastAsia="ko-KR"/>
        </w:rPr>
        <w:t>확장</w:t>
      </w:r>
      <w:r>
        <w:rPr>
          <w:lang w:eastAsia="ko-KR"/>
        </w:rPr>
        <w:t xml:space="preserve"> </w:t>
      </w:r>
      <w:r>
        <w:rPr>
          <w:lang w:eastAsia="ko-KR"/>
        </w:rPr>
        <w:t>시장</w:t>
      </w:r>
    </w:p>
    <w:p w14:paraId="3D54532E" w14:textId="77777777" w:rsidR="004B0D7A" w:rsidRDefault="00000000">
      <w:r>
        <w:t>Initial commercialization will target research organizations and innovation-friendly users. Expansion can then proceed toward specialty clinical workflows, broader hospital deployments, API/B2B relationships, and embedded partner channels.</w:t>
      </w:r>
    </w:p>
    <w:p w14:paraId="6707DC1B" w14:textId="77777777" w:rsidR="004B0D7A" w:rsidRDefault="00000000">
      <w:pPr>
        <w:pStyle w:val="SectionTitle"/>
        <w:rPr>
          <w:lang w:eastAsia="ko-KR"/>
        </w:rPr>
      </w:pPr>
      <w:r>
        <w:rPr>
          <w:lang w:eastAsia="ko-KR"/>
        </w:rPr>
        <w:t xml:space="preserve">5.5 </w:t>
      </w:r>
      <w:r>
        <w:rPr>
          <w:lang w:eastAsia="ko-KR"/>
        </w:rPr>
        <w:t>미국</w:t>
      </w:r>
      <w:r>
        <w:rPr>
          <w:lang w:eastAsia="ko-KR"/>
        </w:rPr>
        <w:t>·</w:t>
      </w:r>
      <w:r>
        <w:rPr>
          <w:lang w:eastAsia="ko-KR"/>
        </w:rPr>
        <w:t>캐나다</w:t>
      </w:r>
      <w:r>
        <w:rPr>
          <w:lang w:eastAsia="ko-KR"/>
        </w:rPr>
        <w:t>·</w:t>
      </w:r>
      <w:r>
        <w:rPr>
          <w:lang w:eastAsia="ko-KR"/>
        </w:rPr>
        <w:t>일본</w:t>
      </w:r>
      <w:r>
        <w:rPr>
          <w:lang w:eastAsia="ko-KR"/>
        </w:rPr>
        <w:t xml:space="preserve"> </w:t>
      </w:r>
      <w:r>
        <w:rPr>
          <w:lang w:eastAsia="ko-KR"/>
        </w:rPr>
        <w:t>등</w:t>
      </w:r>
      <w:r>
        <w:rPr>
          <w:lang w:eastAsia="ko-KR"/>
        </w:rPr>
        <w:t xml:space="preserve"> </w:t>
      </w:r>
      <w:r>
        <w:rPr>
          <w:lang w:eastAsia="ko-KR"/>
        </w:rPr>
        <w:t>주요</w:t>
      </w:r>
      <w:r>
        <w:rPr>
          <w:lang w:eastAsia="ko-KR"/>
        </w:rPr>
        <w:t xml:space="preserve"> </w:t>
      </w:r>
      <w:r>
        <w:rPr>
          <w:lang w:eastAsia="ko-KR"/>
        </w:rPr>
        <w:t>시장</w:t>
      </w:r>
      <w:r>
        <w:rPr>
          <w:lang w:eastAsia="ko-KR"/>
        </w:rPr>
        <w:t xml:space="preserve"> </w:t>
      </w:r>
      <w:r>
        <w:rPr>
          <w:lang w:eastAsia="ko-KR"/>
        </w:rPr>
        <w:t>기회</w:t>
      </w:r>
    </w:p>
    <w:p w14:paraId="3393F431" w14:textId="77777777" w:rsidR="004B0D7A" w:rsidRDefault="00000000">
      <w:r>
        <w:t>The United States is the key early commercialization and regulatory market. Canada offers strong validation and research-network value. Japan is attractive for longer-horizon SaMD expansion, industrial collaboration, and imaging-market relevance.</w:t>
      </w:r>
    </w:p>
    <w:tbl>
      <w:tblPr>
        <w:tblStyle w:val="af9"/>
        <w:tblW w:w="0" w:type="auto"/>
        <w:jc w:val="center"/>
        <w:tblLook w:val="04A0" w:firstRow="1" w:lastRow="0" w:firstColumn="1" w:lastColumn="0" w:noHBand="0" w:noVBand="1"/>
      </w:tblPr>
      <w:tblGrid>
        <w:gridCol w:w="2592"/>
        <w:gridCol w:w="6912"/>
      </w:tblGrid>
      <w:tr w:rsidR="004B0D7A" w14:paraId="58187151" w14:textId="77777777">
        <w:trPr>
          <w:jc w:val="center"/>
        </w:trPr>
        <w:tc>
          <w:tcPr>
            <w:tcW w:w="2592" w:type="dxa"/>
            <w:shd w:val="clear" w:color="auto" w:fill="D9E7F7"/>
            <w:tcMar>
              <w:top w:w="90" w:type="dxa"/>
              <w:left w:w="90" w:type="dxa"/>
              <w:bottom w:w="90" w:type="dxa"/>
              <w:right w:w="90" w:type="dxa"/>
            </w:tcMar>
            <w:vAlign w:val="center"/>
          </w:tcPr>
          <w:p w14:paraId="4E0BC35B" w14:textId="77777777" w:rsidR="004B0D7A" w:rsidRDefault="00000000">
            <w:r>
              <w:rPr>
                <w:b/>
                <w:color w:val="172C58"/>
              </w:rPr>
              <w:t>Region</w:t>
            </w:r>
          </w:p>
        </w:tc>
        <w:tc>
          <w:tcPr>
            <w:tcW w:w="6912" w:type="dxa"/>
            <w:shd w:val="clear" w:color="auto" w:fill="D9E7F7"/>
            <w:tcMar>
              <w:top w:w="90" w:type="dxa"/>
              <w:left w:w="90" w:type="dxa"/>
              <w:bottom w:w="90" w:type="dxa"/>
              <w:right w:w="90" w:type="dxa"/>
            </w:tcMar>
            <w:vAlign w:val="center"/>
          </w:tcPr>
          <w:p w14:paraId="345265CE" w14:textId="77777777" w:rsidR="004B0D7A" w:rsidRDefault="00000000">
            <w:r>
              <w:rPr>
                <w:b/>
                <w:color w:val="172C58"/>
              </w:rPr>
              <w:t>Strategic Role</w:t>
            </w:r>
          </w:p>
        </w:tc>
      </w:tr>
      <w:tr w:rsidR="004B0D7A" w14:paraId="273568AA" w14:textId="77777777">
        <w:trPr>
          <w:jc w:val="center"/>
        </w:trPr>
        <w:tc>
          <w:tcPr>
            <w:tcW w:w="2592" w:type="dxa"/>
            <w:tcMar>
              <w:top w:w="90" w:type="dxa"/>
              <w:left w:w="90" w:type="dxa"/>
              <w:bottom w:w="90" w:type="dxa"/>
              <w:right w:w="90" w:type="dxa"/>
            </w:tcMar>
            <w:vAlign w:val="center"/>
          </w:tcPr>
          <w:p w14:paraId="3CC01654" w14:textId="77777777" w:rsidR="004B0D7A" w:rsidRDefault="00000000">
            <w:r>
              <w:t>United States</w:t>
            </w:r>
          </w:p>
        </w:tc>
        <w:tc>
          <w:tcPr>
            <w:tcW w:w="6912" w:type="dxa"/>
            <w:tcMar>
              <w:top w:w="90" w:type="dxa"/>
              <w:left w:w="90" w:type="dxa"/>
              <w:bottom w:w="90" w:type="dxa"/>
              <w:right w:w="90" w:type="dxa"/>
            </w:tcMar>
            <w:vAlign w:val="center"/>
          </w:tcPr>
          <w:p w14:paraId="30256F8E" w14:textId="77777777" w:rsidR="004B0D7A" w:rsidRDefault="00000000">
            <w:r>
              <w:t>Commercialization scale, FDA pathway definition, enterprise healthcare and platform market.</w:t>
            </w:r>
          </w:p>
        </w:tc>
      </w:tr>
      <w:tr w:rsidR="004B0D7A" w14:paraId="693779E4" w14:textId="77777777">
        <w:trPr>
          <w:jc w:val="center"/>
        </w:trPr>
        <w:tc>
          <w:tcPr>
            <w:tcW w:w="2592" w:type="dxa"/>
            <w:tcMar>
              <w:top w:w="90" w:type="dxa"/>
              <w:left w:w="90" w:type="dxa"/>
              <w:bottom w:w="90" w:type="dxa"/>
              <w:right w:w="90" w:type="dxa"/>
            </w:tcMar>
            <w:vAlign w:val="center"/>
          </w:tcPr>
          <w:p w14:paraId="46FCFF93" w14:textId="77777777" w:rsidR="004B0D7A" w:rsidRDefault="00000000">
            <w:r>
              <w:t>Canada</w:t>
            </w:r>
          </w:p>
        </w:tc>
        <w:tc>
          <w:tcPr>
            <w:tcW w:w="6912" w:type="dxa"/>
            <w:tcMar>
              <w:top w:w="90" w:type="dxa"/>
              <w:left w:w="90" w:type="dxa"/>
              <w:bottom w:w="90" w:type="dxa"/>
              <w:right w:w="90" w:type="dxa"/>
            </w:tcMar>
            <w:vAlign w:val="center"/>
          </w:tcPr>
          <w:p w14:paraId="72E57E9E" w14:textId="77777777" w:rsidR="004B0D7A" w:rsidRDefault="00000000">
            <w:r>
              <w:t>Clinical validation hub, public-health research ecosystem, translational collaboration.</w:t>
            </w:r>
          </w:p>
        </w:tc>
      </w:tr>
      <w:tr w:rsidR="004B0D7A" w14:paraId="39D18888" w14:textId="77777777">
        <w:trPr>
          <w:jc w:val="center"/>
        </w:trPr>
        <w:tc>
          <w:tcPr>
            <w:tcW w:w="2592" w:type="dxa"/>
            <w:tcMar>
              <w:top w:w="90" w:type="dxa"/>
              <w:left w:w="90" w:type="dxa"/>
              <w:bottom w:w="90" w:type="dxa"/>
              <w:right w:w="90" w:type="dxa"/>
            </w:tcMar>
            <w:vAlign w:val="center"/>
          </w:tcPr>
          <w:p w14:paraId="104C21D5" w14:textId="77777777" w:rsidR="004B0D7A" w:rsidRDefault="00000000">
            <w:r>
              <w:t>Japan</w:t>
            </w:r>
          </w:p>
        </w:tc>
        <w:tc>
          <w:tcPr>
            <w:tcW w:w="6912" w:type="dxa"/>
            <w:tcMar>
              <w:top w:w="90" w:type="dxa"/>
              <w:left w:w="90" w:type="dxa"/>
              <w:bottom w:w="90" w:type="dxa"/>
              <w:right w:w="90" w:type="dxa"/>
            </w:tcMar>
            <w:vAlign w:val="center"/>
          </w:tcPr>
          <w:p w14:paraId="53BAA179" w14:textId="77777777" w:rsidR="004B0D7A" w:rsidRDefault="00000000">
            <w:r>
              <w:t>Long-term SaMD growth market, PMDA pathway, strategic expansion and partnership potential.</w:t>
            </w:r>
          </w:p>
        </w:tc>
      </w:tr>
    </w:tbl>
    <w:p w14:paraId="366FA0A0" w14:textId="77777777" w:rsidR="004B0D7A" w:rsidRDefault="00000000">
      <w:r>
        <w:br w:type="page"/>
      </w:r>
    </w:p>
    <w:p w14:paraId="7371DE15" w14:textId="77777777" w:rsidR="004B0D7A" w:rsidRDefault="00000000">
      <w:pPr>
        <w:pStyle w:val="ChapterTitle"/>
      </w:pPr>
      <w:r>
        <w:lastRenderedPageBreak/>
        <w:t>6. Product &amp; Technology Differentiation</w:t>
      </w:r>
    </w:p>
    <w:p w14:paraId="7261C22A" w14:textId="77777777" w:rsidR="004B0D7A" w:rsidRDefault="00000000">
      <w:pPr>
        <w:pStyle w:val="SectionTitle"/>
      </w:pPr>
      <w:r>
        <w:t>6.1 Physics-Constrained Reconstruction</w:t>
      </w:r>
      <w:r>
        <w:t>의</w:t>
      </w:r>
      <w:r>
        <w:t xml:space="preserve"> </w:t>
      </w:r>
      <w:r>
        <w:t>의미</w:t>
      </w:r>
    </w:p>
    <w:p w14:paraId="2B62ACE3" w14:textId="77777777" w:rsidR="004B0D7A" w:rsidRDefault="00000000">
      <w:r>
        <w:t>QMEDIC treats medical imaging as a physics-aware domain rather than a purely generative image task. This means reconstruction and refinement are shaped by source information, modality constraints, and clinically meaningful structure rather than unconstrained aesthetic optimization.</w:t>
      </w:r>
    </w:p>
    <w:p w14:paraId="038F3C09" w14:textId="77777777" w:rsidR="004B0D7A" w:rsidRDefault="00000000">
      <w:pPr>
        <w:pStyle w:val="SectionTitle"/>
      </w:pPr>
      <w:r>
        <w:t xml:space="preserve">6.2 Quantum-AI Hybrid </w:t>
      </w:r>
      <w:r>
        <w:t>접근의</w:t>
      </w:r>
      <w:r>
        <w:t xml:space="preserve"> </w:t>
      </w:r>
      <w:r>
        <w:t>차별성</w:t>
      </w:r>
    </w:p>
    <w:p w14:paraId="28FEE842" w14:textId="77777777" w:rsidR="004B0D7A" w:rsidRDefault="00000000">
      <w:r>
        <w:t>The quantum-AI hybrid approach is not positioned as universal quantum substitution. Instead, SQK views quantum resources as selectively useful for optimization, orchestration, and future hybrid pathways where specific subproblems may benefit from quantum-assisted workflows.</w:t>
      </w:r>
    </w:p>
    <w:p w14:paraId="5620EE49" w14:textId="77777777" w:rsidR="004B0D7A" w:rsidRDefault="00000000">
      <w:pPr>
        <w:pStyle w:val="SectionTitle"/>
      </w:pPr>
      <w:r>
        <w:t xml:space="preserve">6.3 Hallucination Suppression </w:t>
      </w:r>
      <w:r>
        <w:t>전략</w:t>
      </w:r>
    </w:p>
    <w:p w14:paraId="48625D35" w14:textId="77777777" w:rsidR="004B0D7A" w:rsidRDefault="00000000">
      <w:r>
        <w:t>Hallucination suppression in QMEDIC is multi-layered. It includes reconstruction constraints, residual-awareness, conservative mode handling, confidence outputs, and operator-facing review mechanisms. This makes it easier to explain the platform’s safety posture to both customers and regulators.</w:t>
      </w:r>
    </w:p>
    <w:p w14:paraId="009E894F" w14:textId="77777777" w:rsidR="004B0D7A" w:rsidRDefault="00000000">
      <w:pPr>
        <w:pStyle w:val="SectionTitle"/>
        <w:rPr>
          <w:lang w:eastAsia="ko-KR"/>
        </w:rPr>
      </w:pPr>
      <w:r>
        <w:rPr>
          <w:lang w:eastAsia="ko-KR"/>
        </w:rPr>
        <w:t xml:space="preserve">6.4 </w:t>
      </w:r>
      <w:r>
        <w:rPr>
          <w:lang w:eastAsia="ko-KR"/>
        </w:rPr>
        <w:t>성능</w:t>
      </w:r>
      <w:r>
        <w:rPr>
          <w:lang w:eastAsia="ko-KR"/>
        </w:rPr>
        <w:t>·</w:t>
      </w:r>
      <w:r>
        <w:rPr>
          <w:lang w:eastAsia="ko-KR"/>
        </w:rPr>
        <w:t>신뢰성</w:t>
      </w:r>
      <w:r>
        <w:rPr>
          <w:lang w:eastAsia="ko-KR"/>
        </w:rPr>
        <w:t>·</w:t>
      </w:r>
      <w:r>
        <w:rPr>
          <w:lang w:eastAsia="ko-KR"/>
        </w:rPr>
        <w:t>속도</w:t>
      </w:r>
      <w:r>
        <w:rPr>
          <w:lang w:eastAsia="ko-KR"/>
        </w:rPr>
        <w:t xml:space="preserve"> </w:t>
      </w:r>
      <w:r>
        <w:rPr>
          <w:lang w:eastAsia="ko-KR"/>
        </w:rPr>
        <w:t>측면</w:t>
      </w:r>
      <w:r>
        <w:rPr>
          <w:lang w:eastAsia="ko-KR"/>
        </w:rPr>
        <w:t xml:space="preserve"> </w:t>
      </w:r>
      <w:r>
        <w:rPr>
          <w:lang w:eastAsia="ko-KR"/>
        </w:rPr>
        <w:t>차별화</w:t>
      </w:r>
    </w:p>
    <w:p w14:paraId="5D064103" w14:textId="77777777" w:rsidR="004B0D7A" w:rsidRDefault="00000000">
      <w:r>
        <w:t>QMEDIC aims to balance image quality, computational practicality, and governance. Its differentiation is strongest when image enhancement, quality assurance, and workflow usability are evaluated together.</w:t>
      </w:r>
    </w:p>
    <w:p w14:paraId="53F8FB76" w14:textId="77777777" w:rsidR="004B0D7A" w:rsidRDefault="00000000">
      <w:pPr>
        <w:pStyle w:val="SectionTitle"/>
        <w:rPr>
          <w:lang w:eastAsia="ko-KR"/>
        </w:rPr>
      </w:pPr>
      <w:r>
        <w:rPr>
          <w:lang w:eastAsia="ko-KR"/>
        </w:rPr>
        <w:t xml:space="preserve">6.5 </w:t>
      </w:r>
      <w:r>
        <w:rPr>
          <w:lang w:eastAsia="ko-KR"/>
        </w:rPr>
        <w:t>경쟁사가</w:t>
      </w:r>
      <w:r>
        <w:rPr>
          <w:lang w:eastAsia="ko-KR"/>
        </w:rPr>
        <w:t xml:space="preserve"> </w:t>
      </w:r>
      <w:r>
        <w:rPr>
          <w:lang w:eastAsia="ko-KR"/>
        </w:rPr>
        <w:t>쉽게</w:t>
      </w:r>
      <w:r>
        <w:rPr>
          <w:lang w:eastAsia="ko-KR"/>
        </w:rPr>
        <w:t xml:space="preserve"> </w:t>
      </w:r>
      <w:r>
        <w:rPr>
          <w:lang w:eastAsia="ko-KR"/>
        </w:rPr>
        <w:t>따라오기</w:t>
      </w:r>
      <w:r>
        <w:rPr>
          <w:lang w:eastAsia="ko-KR"/>
        </w:rPr>
        <w:t xml:space="preserve"> </w:t>
      </w:r>
      <w:r>
        <w:rPr>
          <w:lang w:eastAsia="ko-KR"/>
        </w:rPr>
        <w:t>어려운</w:t>
      </w:r>
      <w:r>
        <w:rPr>
          <w:lang w:eastAsia="ko-KR"/>
        </w:rPr>
        <w:t xml:space="preserve"> </w:t>
      </w:r>
      <w:r>
        <w:rPr>
          <w:lang w:eastAsia="ko-KR"/>
        </w:rPr>
        <w:t>이유</w:t>
      </w:r>
    </w:p>
    <w:p w14:paraId="3EA03D92" w14:textId="5131CC3F" w:rsidR="00BE3193" w:rsidRDefault="00000000">
      <w:r>
        <w:t>The hardest element to copy is not one model but the full stack: imaging logic, reliability controls, product architecture, benchmarking, integration potential, and the commercialization narrative that links these components together.</w:t>
      </w:r>
      <w:r w:rsidR="00BE3193">
        <w:br/>
      </w:r>
    </w:p>
    <w:p w14:paraId="53CC55F7" w14:textId="77777777" w:rsidR="004B0D7A" w:rsidRDefault="00000000">
      <w:pPr>
        <w:pStyle w:val="ChapterTitle"/>
      </w:pPr>
      <w:r>
        <w:t>7. Product Architecture &amp; Platform Strategy</w:t>
      </w:r>
    </w:p>
    <w:p w14:paraId="610AD75E" w14:textId="77777777" w:rsidR="004B0D7A" w:rsidRDefault="00000000">
      <w:pPr>
        <w:pStyle w:val="SectionTitle"/>
      </w:pPr>
      <w:r>
        <w:t xml:space="preserve">7.1 QMEDIC </w:t>
      </w:r>
      <w:r>
        <w:t>시스템</w:t>
      </w:r>
      <w:r>
        <w:t xml:space="preserve"> </w:t>
      </w:r>
      <w:r>
        <w:t>구조</w:t>
      </w:r>
    </w:p>
    <w:p w14:paraId="77F52DE7" w14:textId="77777777" w:rsidR="004B0D7A" w:rsidRDefault="00000000">
      <w:r>
        <w:t>The QMEDIC architecture spans data ingestion, reconstruction, refinement, validation, Co-pilot assistance, and delivery interfaces. This allows the product to operate as more than an enhancement module; it becomes a controllable workflow component.</w:t>
      </w:r>
    </w:p>
    <w:p w14:paraId="13EEE152" w14:textId="77777777" w:rsidR="004B0D7A" w:rsidRDefault="00000000">
      <w:pPr>
        <w:pStyle w:val="SectionTitle"/>
      </w:pPr>
      <w:r>
        <w:t xml:space="preserve">7.2 </w:t>
      </w:r>
      <w:r>
        <w:t>데이터</w:t>
      </w:r>
      <w:r>
        <w:t xml:space="preserve"> </w:t>
      </w:r>
      <w:r>
        <w:t>입력</w:t>
      </w:r>
      <w:r>
        <w:t xml:space="preserve"> </w:t>
      </w:r>
      <w:r>
        <w:t>및</w:t>
      </w:r>
      <w:r>
        <w:t xml:space="preserve"> </w:t>
      </w:r>
      <w:r>
        <w:t>처리</w:t>
      </w:r>
      <w:r>
        <w:t xml:space="preserve"> </w:t>
      </w:r>
      <w:r>
        <w:t>구조</w:t>
      </w:r>
    </w:p>
    <w:p w14:paraId="4E46B791" w14:textId="77777777" w:rsidR="004B0D7A" w:rsidRDefault="00000000">
      <w:r>
        <w:t>Input pathways can include DICOM studies, acquisition metadata, research annotations, and optional contextual health-system data depending on deployment mode. Processing then moves through normalization, reconstruction, refinement, quality assessment, and structured output packaging.</w:t>
      </w:r>
    </w:p>
    <w:p w14:paraId="09FD1909" w14:textId="77777777" w:rsidR="004B0D7A" w:rsidRDefault="00000000">
      <w:pPr>
        <w:pStyle w:val="SectionTitle"/>
      </w:pPr>
      <w:r>
        <w:t xml:space="preserve">7.3 DICOM/PACS </w:t>
      </w:r>
      <w:r>
        <w:t>연동</w:t>
      </w:r>
      <w:r>
        <w:t xml:space="preserve"> </w:t>
      </w:r>
      <w:r>
        <w:t>전략</w:t>
      </w:r>
    </w:p>
    <w:p w14:paraId="4DB61C33" w14:textId="77777777" w:rsidR="004B0D7A" w:rsidRDefault="00000000">
      <w:r>
        <w:t>A practical first integration model is API/connector-based rather than deep PACS embed. This keeps deployment faster for research and partner environments while preserving a path to future PACS viewer plug-ins or report-sidecar integration.</w:t>
      </w:r>
    </w:p>
    <w:p w14:paraId="5E64B7A1" w14:textId="77777777" w:rsidR="004B0D7A" w:rsidRDefault="00000000">
      <w:pPr>
        <w:pStyle w:val="SectionTitle"/>
        <w:rPr>
          <w:lang w:eastAsia="ko-KR"/>
        </w:rPr>
      </w:pPr>
      <w:r>
        <w:rPr>
          <w:lang w:eastAsia="ko-KR"/>
        </w:rPr>
        <w:lastRenderedPageBreak/>
        <w:t xml:space="preserve">7.4 QUKKOS/QTAU </w:t>
      </w:r>
      <w:r>
        <w:rPr>
          <w:lang w:eastAsia="ko-KR"/>
        </w:rPr>
        <w:t>연계</w:t>
      </w:r>
      <w:r>
        <w:rPr>
          <w:lang w:eastAsia="ko-KR"/>
        </w:rPr>
        <w:t xml:space="preserve"> </w:t>
      </w:r>
      <w:r>
        <w:rPr>
          <w:lang w:eastAsia="ko-KR"/>
        </w:rPr>
        <w:t>구조</w:t>
      </w:r>
    </w:p>
    <w:p w14:paraId="58E572EE" w14:textId="77777777" w:rsidR="004B0D7A" w:rsidRDefault="00000000">
      <w:r>
        <w:t>QUKKOS provides a future orchestration and routing layer for quantum-classical execution paths. QTAU provides benchmarking and evidence-generation capability. Together they strengthen QMEDIC’s positioning as a platform that can both execute and explain.</w:t>
      </w:r>
    </w:p>
    <w:p w14:paraId="7576ED53" w14:textId="77777777" w:rsidR="004B0D7A" w:rsidRDefault="00000000">
      <w:pPr>
        <w:pStyle w:val="SectionTitle"/>
        <w:rPr>
          <w:lang w:eastAsia="ko-KR"/>
        </w:rPr>
      </w:pPr>
      <w:r>
        <w:rPr>
          <w:lang w:eastAsia="ko-KR"/>
        </w:rPr>
        <w:t xml:space="preserve">7.5 </w:t>
      </w:r>
      <w:r>
        <w:rPr>
          <w:lang w:eastAsia="ko-KR"/>
        </w:rPr>
        <w:t>클라우드</w:t>
      </w:r>
      <w:r>
        <w:rPr>
          <w:lang w:eastAsia="ko-KR"/>
        </w:rPr>
        <w:t>·</w:t>
      </w:r>
      <w:r>
        <w:rPr>
          <w:lang w:eastAsia="ko-KR"/>
        </w:rPr>
        <w:t>온프레미스</w:t>
      </w:r>
      <w:r>
        <w:rPr>
          <w:lang w:eastAsia="ko-KR"/>
        </w:rPr>
        <w:t>·</w:t>
      </w:r>
      <w:r>
        <w:rPr>
          <w:lang w:eastAsia="ko-KR"/>
        </w:rPr>
        <w:t>하이브리드</w:t>
      </w:r>
      <w:r>
        <w:rPr>
          <w:lang w:eastAsia="ko-KR"/>
        </w:rPr>
        <w:t xml:space="preserve"> </w:t>
      </w:r>
      <w:r>
        <w:rPr>
          <w:lang w:eastAsia="ko-KR"/>
        </w:rPr>
        <w:t>배포</w:t>
      </w:r>
      <w:r>
        <w:rPr>
          <w:lang w:eastAsia="ko-KR"/>
        </w:rPr>
        <w:t xml:space="preserve"> </w:t>
      </w:r>
      <w:r>
        <w:rPr>
          <w:lang w:eastAsia="ko-KR"/>
        </w:rPr>
        <w:t>전략</w:t>
      </w:r>
    </w:p>
    <w:p w14:paraId="6E7B7353" w14:textId="77777777" w:rsidR="004B0D7A" w:rsidRDefault="00000000">
      <w:r>
        <w:t>The primary SaaS deployment target is AWS Healthcare-oriented infrastructure, while the broader platform ecosystem includes IBM for enterprise and quantum-adjacent expansion and MATLAB for research workflow compatibility. Over time, QMEDIC may also support institution-managed, on-premise, or hybrid deployment options.</w:t>
      </w:r>
    </w:p>
    <w:p w14:paraId="11041FD5" w14:textId="77777777" w:rsidR="004B0D7A" w:rsidRDefault="00000000">
      <w:pPr>
        <w:pStyle w:val="SectionTitle"/>
        <w:rPr>
          <w:lang w:eastAsia="ko-KR"/>
        </w:rPr>
      </w:pPr>
      <w:r>
        <w:rPr>
          <w:lang w:eastAsia="ko-KR"/>
        </w:rPr>
        <w:t xml:space="preserve">7.6 </w:t>
      </w:r>
      <w:r>
        <w:rPr>
          <w:lang w:eastAsia="ko-KR"/>
        </w:rPr>
        <w:t>플랫폼화</w:t>
      </w:r>
      <w:r>
        <w:rPr>
          <w:lang w:eastAsia="ko-KR"/>
        </w:rPr>
        <w:t xml:space="preserve"> </w:t>
      </w:r>
      <w:r>
        <w:rPr>
          <w:lang w:eastAsia="ko-KR"/>
        </w:rPr>
        <w:t>및</w:t>
      </w:r>
      <w:r>
        <w:rPr>
          <w:lang w:eastAsia="ko-KR"/>
        </w:rPr>
        <w:t xml:space="preserve"> SDK </w:t>
      </w:r>
      <w:r>
        <w:rPr>
          <w:lang w:eastAsia="ko-KR"/>
        </w:rPr>
        <w:t>확장</w:t>
      </w:r>
      <w:r>
        <w:rPr>
          <w:lang w:eastAsia="ko-KR"/>
        </w:rPr>
        <w:t xml:space="preserve"> </w:t>
      </w:r>
      <w:r>
        <w:rPr>
          <w:lang w:eastAsia="ko-KR"/>
        </w:rPr>
        <w:t>가능성</w:t>
      </w:r>
    </w:p>
    <w:p w14:paraId="208C3087" w14:textId="7B5703B1" w:rsidR="004B0D7A" w:rsidRDefault="00000000">
      <w:r>
        <w:t>QMEDIC is intentionally designed for platform extension. SDK/API pathways can support research scripting, partner integrations, B2B delivery, and embedded use in larger imaging or AI systems.</w:t>
      </w:r>
    </w:p>
    <w:p w14:paraId="596FF28A" w14:textId="7E7576AF" w:rsidR="004B0D7A" w:rsidRDefault="004B0D7A"/>
    <w:p w14:paraId="36B8732C" w14:textId="77777777" w:rsidR="004B0D7A" w:rsidRDefault="00000000">
      <w:pPr>
        <w:pStyle w:val="ChapterTitle"/>
      </w:pPr>
      <w:r>
        <w:t>8. Validation, Clinical Relevance &amp; Evidence</w:t>
      </w:r>
    </w:p>
    <w:p w14:paraId="5D272D0F" w14:textId="77777777" w:rsidR="004B0D7A" w:rsidRDefault="00000000">
      <w:pPr>
        <w:pStyle w:val="SectionTitle"/>
      </w:pPr>
      <w:r>
        <w:t xml:space="preserve">8.1 </w:t>
      </w:r>
      <w:r>
        <w:t>기술</w:t>
      </w:r>
      <w:r>
        <w:t xml:space="preserve"> </w:t>
      </w:r>
      <w:r>
        <w:t>검증</w:t>
      </w:r>
      <w:r>
        <w:t xml:space="preserve"> </w:t>
      </w:r>
      <w:r>
        <w:t>현황</w:t>
      </w:r>
    </w:p>
    <w:p w14:paraId="42F87CA1" w14:textId="77777777" w:rsidR="004B0D7A" w:rsidRDefault="00000000">
      <w:r>
        <w:t>QMEDIC should be presented as a platform moving from validated technical capability toward productized, repeatable deployment. The central question is no longer whether the algorithm can perform in isolated settings, but whether the product can sustain trust in real workflows.</w:t>
      </w:r>
    </w:p>
    <w:p w14:paraId="51D200B5" w14:textId="77777777" w:rsidR="004B0D7A" w:rsidRDefault="00000000">
      <w:pPr>
        <w:pStyle w:val="SectionTitle"/>
      </w:pPr>
      <w:r>
        <w:t xml:space="preserve">8.2 </w:t>
      </w:r>
      <w:r>
        <w:t>임상적</w:t>
      </w:r>
      <w:r>
        <w:t xml:space="preserve"> </w:t>
      </w:r>
      <w:r>
        <w:t>유의성</w:t>
      </w:r>
    </w:p>
    <w:p w14:paraId="0071FFE4" w14:textId="77777777" w:rsidR="004B0D7A" w:rsidRDefault="00000000">
      <w:r>
        <w:t>Clinical relevance should be framed in terms of low-dose usability, artifact sensitivity, structure preservation, and support for downstream diagnostic or biomarker workflows. This framing is stronger than a purely cosmetic quality-improvement narrative.</w:t>
      </w:r>
    </w:p>
    <w:p w14:paraId="30728307" w14:textId="77777777" w:rsidR="004B0D7A" w:rsidRDefault="00000000">
      <w:pPr>
        <w:pStyle w:val="SectionTitle"/>
        <w:rPr>
          <w:lang w:eastAsia="ko-KR"/>
        </w:rPr>
      </w:pPr>
      <w:r>
        <w:rPr>
          <w:lang w:eastAsia="ko-KR"/>
        </w:rPr>
        <w:t xml:space="preserve">8.3 </w:t>
      </w:r>
      <w:r>
        <w:rPr>
          <w:lang w:eastAsia="ko-KR"/>
        </w:rPr>
        <w:t>주요</w:t>
      </w:r>
      <w:r>
        <w:rPr>
          <w:lang w:eastAsia="ko-KR"/>
        </w:rPr>
        <w:t xml:space="preserve"> </w:t>
      </w:r>
      <w:r>
        <w:rPr>
          <w:lang w:eastAsia="ko-KR"/>
        </w:rPr>
        <w:t>성능지표</w:t>
      </w:r>
      <w:r>
        <w:rPr>
          <w:lang w:eastAsia="ko-KR"/>
        </w:rPr>
        <w:t xml:space="preserve"> </w:t>
      </w:r>
      <w:r>
        <w:rPr>
          <w:lang w:eastAsia="ko-KR"/>
        </w:rPr>
        <w:t>및</w:t>
      </w:r>
      <w:r>
        <w:rPr>
          <w:lang w:eastAsia="ko-KR"/>
        </w:rPr>
        <w:t xml:space="preserve"> </w:t>
      </w:r>
      <w:r>
        <w:rPr>
          <w:lang w:eastAsia="ko-KR"/>
        </w:rPr>
        <w:t>비교</w:t>
      </w:r>
      <w:r>
        <w:rPr>
          <w:lang w:eastAsia="ko-KR"/>
        </w:rPr>
        <w:t xml:space="preserve"> </w:t>
      </w:r>
      <w:r>
        <w:rPr>
          <w:lang w:eastAsia="ko-KR"/>
        </w:rPr>
        <w:t>결과</w:t>
      </w:r>
    </w:p>
    <w:p w14:paraId="34197C09" w14:textId="77777777" w:rsidR="004B0D7A" w:rsidRDefault="00000000">
      <w:r>
        <w:t>External-facing documentation should include image metrics, task-specific reader outcomes, artifact scores, latency, throughput, and quality-governance outputs. The most persuasive evidence combines quantitative and workflow-oriented results.</w:t>
      </w:r>
    </w:p>
    <w:p w14:paraId="50B8381A" w14:textId="77777777" w:rsidR="004B0D7A" w:rsidRDefault="00000000">
      <w:pPr>
        <w:pStyle w:val="SectionTitle"/>
      </w:pPr>
      <w:r>
        <w:t xml:space="preserve">8.4 PoC </w:t>
      </w:r>
      <w:r>
        <w:t>및</w:t>
      </w:r>
      <w:r>
        <w:t xml:space="preserve"> </w:t>
      </w:r>
      <w:r>
        <w:t>임상</w:t>
      </w:r>
      <w:r>
        <w:t xml:space="preserve"> </w:t>
      </w:r>
      <w:r>
        <w:t>협력</w:t>
      </w:r>
      <w:r>
        <w:t xml:space="preserve"> </w:t>
      </w:r>
      <w:r>
        <w:t>현황</w:t>
      </w:r>
    </w:p>
    <w:p w14:paraId="464D22F0" w14:textId="77777777" w:rsidR="004B0D7A" w:rsidRDefault="00000000">
      <w:r>
        <w:t>Pilot deployments and institutional collaborations are especially valuable because they generate both customer traction and evidence. Design partners can also help shape the product into a more deployable clinical research asset.</w:t>
      </w:r>
    </w:p>
    <w:p w14:paraId="1842191F" w14:textId="77777777" w:rsidR="004B0D7A" w:rsidRDefault="00000000">
      <w:pPr>
        <w:pStyle w:val="SectionTitle"/>
        <w:rPr>
          <w:lang w:eastAsia="ko-KR"/>
        </w:rPr>
      </w:pPr>
      <w:r>
        <w:rPr>
          <w:lang w:eastAsia="ko-KR"/>
        </w:rPr>
        <w:t xml:space="preserve">8.5 </w:t>
      </w:r>
      <w:r>
        <w:rPr>
          <w:lang w:eastAsia="ko-KR"/>
        </w:rPr>
        <w:t>향후</w:t>
      </w:r>
      <w:r>
        <w:rPr>
          <w:lang w:eastAsia="ko-KR"/>
        </w:rPr>
        <w:t xml:space="preserve"> </w:t>
      </w:r>
      <w:r>
        <w:rPr>
          <w:lang w:eastAsia="ko-KR"/>
        </w:rPr>
        <w:t>검증</w:t>
      </w:r>
      <w:r>
        <w:rPr>
          <w:lang w:eastAsia="ko-KR"/>
        </w:rPr>
        <w:t xml:space="preserve"> </w:t>
      </w:r>
      <w:r>
        <w:rPr>
          <w:lang w:eastAsia="ko-KR"/>
        </w:rPr>
        <w:t>계획과</w:t>
      </w:r>
      <w:r>
        <w:rPr>
          <w:lang w:eastAsia="ko-KR"/>
        </w:rPr>
        <w:t xml:space="preserve"> </w:t>
      </w:r>
      <w:r>
        <w:rPr>
          <w:lang w:eastAsia="ko-KR"/>
        </w:rPr>
        <w:t>신뢰성</w:t>
      </w:r>
      <w:r>
        <w:rPr>
          <w:lang w:eastAsia="ko-KR"/>
        </w:rPr>
        <w:t xml:space="preserve"> </w:t>
      </w:r>
      <w:r>
        <w:rPr>
          <w:lang w:eastAsia="ko-KR"/>
        </w:rPr>
        <w:t>확보</w:t>
      </w:r>
      <w:r>
        <w:rPr>
          <w:lang w:eastAsia="ko-KR"/>
        </w:rPr>
        <w:t xml:space="preserve"> </w:t>
      </w:r>
      <w:r>
        <w:rPr>
          <w:lang w:eastAsia="ko-KR"/>
        </w:rPr>
        <w:t>전략</w:t>
      </w:r>
    </w:p>
    <w:p w14:paraId="3ACA7C20" w14:textId="77777777" w:rsidR="004B0D7A" w:rsidRDefault="00000000">
      <w:r>
        <w:t>Validation should proceed in three layers: product validation, research or clinical validation, and regulatory-grade documentation and evidence build-up. This staged strategy de-risks commercialization while improving future submission readiness.</w:t>
      </w:r>
    </w:p>
    <w:p w14:paraId="379BAA47" w14:textId="77777777" w:rsidR="004B0D7A" w:rsidRDefault="00000000">
      <w:pPr>
        <w:pStyle w:val="ChapterTitle"/>
      </w:pPr>
      <w:r>
        <w:lastRenderedPageBreak/>
        <w:t>9. Competitive Landscape</w:t>
      </w:r>
    </w:p>
    <w:p w14:paraId="69E02F38" w14:textId="77777777" w:rsidR="004B0D7A" w:rsidRDefault="00000000">
      <w:pPr>
        <w:pStyle w:val="SectionTitle"/>
      </w:pPr>
      <w:r>
        <w:t xml:space="preserve">9.1 </w:t>
      </w:r>
      <w:r>
        <w:t>경쟁</w:t>
      </w:r>
      <w:r>
        <w:t xml:space="preserve"> </w:t>
      </w:r>
      <w:r>
        <w:t>구도</w:t>
      </w:r>
      <w:r>
        <w:t xml:space="preserve"> </w:t>
      </w:r>
      <w:r>
        <w:t>개요</w:t>
      </w:r>
    </w:p>
    <w:p w14:paraId="588077D8" w14:textId="77777777" w:rsidR="004B0D7A" w:rsidRDefault="00000000">
      <w:r>
        <w:t>QMEDIC competes against device-vendor reconstruction approaches, general medical-imaging AI software, and niche image-enhancement or denoising offerings. Its distinct position comes from combining reliability engineering with deployment strategy.</w:t>
      </w:r>
    </w:p>
    <w:p w14:paraId="53828703" w14:textId="77777777" w:rsidR="004B0D7A" w:rsidRDefault="00000000">
      <w:pPr>
        <w:pStyle w:val="SectionTitle"/>
      </w:pPr>
      <w:r>
        <w:t xml:space="preserve">9.2 </w:t>
      </w:r>
      <w:r>
        <w:t>기존</w:t>
      </w:r>
      <w:r>
        <w:t xml:space="preserve"> </w:t>
      </w:r>
      <w:r>
        <w:t>재건</w:t>
      </w:r>
      <w:r>
        <w:t xml:space="preserve"> </w:t>
      </w:r>
      <w:r>
        <w:t>솔루션과</w:t>
      </w:r>
      <w:r>
        <w:t xml:space="preserve"> </w:t>
      </w:r>
      <w:r>
        <w:t>비교</w:t>
      </w:r>
    </w:p>
    <w:p w14:paraId="51826D5C" w14:textId="77777777" w:rsidR="004B0D7A" w:rsidRDefault="00000000">
      <w:r>
        <w:t>Vendor-native reconstruction systems can be powerful but are often constrained by closed ecosystems, scanner specificity, and limited external API flexibility. QMEDIC can differentiate through vendor-agnostic deployment and broader interoperability.</w:t>
      </w:r>
    </w:p>
    <w:p w14:paraId="13AA3226" w14:textId="77777777" w:rsidR="004B0D7A" w:rsidRDefault="00000000">
      <w:pPr>
        <w:pStyle w:val="SectionTitle"/>
        <w:rPr>
          <w:lang w:eastAsia="ko-KR"/>
        </w:rPr>
      </w:pPr>
      <w:r>
        <w:rPr>
          <w:lang w:eastAsia="ko-KR"/>
        </w:rPr>
        <w:t xml:space="preserve">9.3 </w:t>
      </w:r>
      <w:r>
        <w:rPr>
          <w:lang w:eastAsia="ko-KR"/>
        </w:rPr>
        <w:t>일반</w:t>
      </w:r>
      <w:r>
        <w:rPr>
          <w:lang w:eastAsia="ko-KR"/>
        </w:rPr>
        <w:t xml:space="preserve"> </w:t>
      </w:r>
      <w:r>
        <w:rPr>
          <w:lang w:eastAsia="ko-KR"/>
        </w:rPr>
        <w:t>의료영상</w:t>
      </w:r>
      <w:r>
        <w:rPr>
          <w:lang w:eastAsia="ko-KR"/>
        </w:rPr>
        <w:t xml:space="preserve"> AI </w:t>
      </w:r>
      <w:r>
        <w:rPr>
          <w:lang w:eastAsia="ko-KR"/>
        </w:rPr>
        <w:t>솔루션과</w:t>
      </w:r>
      <w:r>
        <w:rPr>
          <w:lang w:eastAsia="ko-KR"/>
        </w:rPr>
        <w:t xml:space="preserve"> </w:t>
      </w:r>
      <w:r>
        <w:rPr>
          <w:lang w:eastAsia="ko-KR"/>
        </w:rPr>
        <w:t>비교</w:t>
      </w:r>
    </w:p>
    <w:p w14:paraId="0352997A" w14:textId="77777777" w:rsidR="004B0D7A" w:rsidRDefault="00000000">
      <w:r>
        <w:t>Many medical imaging AI products assume a sufficiently trustworthy input image. QMEDIC instead addresses the upstream quality and consistency layer that can improve both human and machine interpretation quality downstream.</w:t>
      </w:r>
    </w:p>
    <w:p w14:paraId="12D67D3E" w14:textId="77777777" w:rsidR="004B0D7A" w:rsidRDefault="00000000">
      <w:pPr>
        <w:pStyle w:val="SectionTitle"/>
      </w:pPr>
      <w:r>
        <w:t>9.4 SQK</w:t>
      </w:r>
      <w:r>
        <w:t>의</w:t>
      </w:r>
      <w:r>
        <w:t xml:space="preserve"> </w:t>
      </w:r>
      <w:r>
        <w:t>포지셔닝</w:t>
      </w:r>
    </w:p>
    <w:p w14:paraId="498F758A" w14:textId="77777777" w:rsidR="004B0D7A" w:rsidRDefault="00000000">
      <w:r>
        <w:t>SQK should be positioned not simply as a diagnostic-AI company but as a medical-imaging reliability infrastructure company. This framing better captures the platform’s defensibility and extensibility.</w:t>
      </w:r>
    </w:p>
    <w:p w14:paraId="1F9CFA97" w14:textId="77777777" w:rsidR="004B0D7A" w:rsidRDefault="00000000">
      <w:pPr>
        <w:pStyle w:val="SectionTitle"/>
      </w:pPr>
      <w:r>
        <w:t xml:space="preserve">9.5 </w:t>
      </w:r>
      <w:r>
        <w:t>진입장벽</w:t>
      </w:r>
      <w:r>
        <w:t xml:space="preserve">: </w:t>
      </w:r>
      <w:r>
        <w:t>기술</w:t>
      </w:r>
      <w:r>
        <w:t xml:space="preserve">, </w:t>
      </w:r>
      <w:r>
        <w:t>데이터</w:t>
      </w:r>
      <w:r>
        <w:t xml:space="preserve">, IP, </w:t>
      </w:r>
      <w:r>
        <w:t>파트너십</w:t>
      </w:r>
    </w:p>
    <w:p w14:paraId="644622F5" w14:textId="40ECE03F" w:rsidR="004B0D7A" w:rsidRDefault="00000000">
      <w:pPr>
        <w:rPr>
          <w:lang w:eastAsia="ko-KR"/>
        </w:rPr>
      </w:pPr>
      <w:r>
        <w:t>Barriers to entry include specialized imaging logic, validation know-how, product architecture, IP, partner ecosystem development, and the evidence layer needed for regulated or enterprise adoption</w:t>
      </w:r>
      <w:r w:rsidR="00BE3193">
        <w:rPr>
          <w:rFonts w:hint="eastAsia"/>
          <w:lang w:eastAsia="ko-KR"/>
        </w:rPr>
        <w:t>.</w:t>
      </w:r>
    </w:p>
    <w:p w14:paraId="71B8025E" w14:textId="5E397619" w:rsidR="004B0D7A" w:rsidRDefault="004B0D7A"/>
    <w:p w14:paraId="3B3FC988" w14:textId="77777777" w:rsidR="004B0D7A" w:rsidRDefault="00000000">
      <w:pPr>
        <w:pStyle w:val="ChapterTitle"/>
      </w:pPr>
      <w:r>
        <w:t>10. Business Model</w:t>
      </w:r>
    </w:p>
    <w:p w14:paraId="19234A23" w14:textId="77777777" w:rsidR="004B0D7A" w:rsidRDefault="00000000">
      <w:pPr>
        <w:pStyle w:val="SectionTitle"/>
      </w:pPr>
      <w:r>
        <w:t xml:space="preserve">10.1 </w:t>
      </w:r>
      <w:r>
        <w:t>수익모델</w:t>
      </w:r>
      <w:r>
        <w:t xml:space="preserve"> </w:t>
      </w:r>
      <w:r>
        <w:t>개요</w:t>
      </w:r>
    </w:p>
    <w:p w14:paraId="79DFF17C" w14:textId="77777777" w:rsidR="004B0D7A" w:rsidRDefault="00000000">
      <w:r>
        <w:t>QMEDIC’s business model is intentionally multi-layered. Near-term revenue can come from pilots, subscriptions, and project packages. Mid-term expansion can include enterprise deployment and B2B licensing. Long-term value can be added through OEM or platform integration.</w:t>
      </w:r>
    </w:p>
    <w:p w14:paraId="1F401AE9" w14:textId="77777777" w:rsidR="004B0D7A" w:rsidRDefault="00000000">
      <w:pPr>
        <w:pStyle w:val="SectionTitle"/>
        <w:rPr>
          <w:lang w:eastAsia="ko-KR"/>
        </w:rPr>
      </w:pPr>
      <w:r>
        <w:rPr>
          <w:lang w:eastAsia="ko-KR"/>
        </w:rPr>
        <w:t xml:space="preserve">10.2 </w:t>
      </w:r>
      <w:r>
        <w:rPr>
          <w:lang w:eastAsia="ko-KR"/>
        </w:rPr>
        <w:t>병원</w:t>
      </w:r>
      <w:r>
        <w:rPr>
          <w:lang w:eastAsia="ko-KR"/>
        </w:rPr>
        <w:t xml:space="preserve"> </w:t>
      </w:r>
      <w:r>
        <w:rPr>
          <w:lang w:eastAsia="ko-KR"/>
        </w:rPr>
        <w:t>대상</w:t>
      </w:r>
      <w:r>
        <w:rPr>
          <w:lang w:eastAsia="ko-KR"/>
        </w:rPr>
        <w:t xml:space="preserve"> SaaS/</w:t>
      </w:r>
      <w:r>
        <w:rPr>
          <w:lang w:eastAsia="ko-KR"/>
        </w:rPr>
        <w:t>사용량</w:t>
      </w:r>
      <w:r>
        <w:rPr>
          <w:lang w:eastAsia="ko-KR"/>
        </w:rPr>
        <w:t xml:space="preserve"> </w:t>
      </w:r>
      <w:r>
        <w:rPr>
          <w:lang w:eastAsia="ko-KR"/>
        </w:rPr>
        <w:t>기반</w:t>
      </w:r>
      <w:r>
        <w:rPr>
          <w:lang w:eastAsia="ko-KR"/>
        </w:rPr>
        <w:t xml:space="preserve"> </w:t>
      </w:r>
      <w:r>
        <w:rPr>
          <w:lang w:eastAsia="ko-KR"/>
        </w:rPr>
        <w:t>모델</w:t>
      </w:r>
    </w:p>
    <w:p w14:paraId="79550FAB" w14:textId="77777777" w:rsidR="004B0D7A" w:rsidRDefault="00000000">
      <w:r>
        <w:t>Hospitals and research groups can be served through annual subscriptions, per-study billing, multi-site tiers, and premium support packages. Early contracts should prioritize ease of adoption and proof of value over maximal price extraction.</w:t>
      </w:r>
    </w:p>
    <w:p w14:paraId="4F4707B5" w14:textId="77777777" w:rsidR="004B0D7A" w:rsidRDefault="00000000">
      <w:pPr>
        <w:pStyle w:val="SectionTitle"/>
        <w:rPr>
          <w:lang w:eastAsia="ko-KR"/>
        </w:rPr>
      </w:pPr>
      <w:r>
        <w:rPr>
          <w:lang w:eastAsia="ko-KR"/>
        </w:rPr>
        <w:t xml:space="preserve">10.3 </w:t>
      </w:r>
      <w:r>
        <w:rPr>
          <w:lang w:eastAsia="ko-KR"/>
        </w:rPr>
        <w:t>의료</w:t>
      </w:r>
      <w:r>
        <w:rPr>
          <w:lang w:eastAsia="ko-KR"/>
        </w:rPr>
        <w:t xml:space="preserve">AI </w:t>
      </w:r>
      <w:r>
        <w:rPr>
          <w:lang w:eastAsia="ko-KR"/>
        </w:rPr>
        <w:t>기업</w:t>
      </w:r>
      <w:r>
        <w:rPr>
          <w:lang w:eastAsia="ko-KR"/>
        </w:rPr>
        <w:t xml:space="preserve"> </w:t>
      </w:r>
      <w:r>
        <w:rPr>
          <w:lang w:eastAsia="ko-KR"/>
        </w:rPr>
        <w:t>대상</w:t>
      </w:r>
      <w:r>
        <w:rPr>
          <w:lang w:eastAsia="ko-KR"/>
        </w:rPr>
        <w:t xml:space="preserve"> B2B </w:t>
      </w:r>
      <w:r>
        <w:rPr>
          <w:lang w:eastAsia="ko-KR"/>
        </w:rPr>
        <w:t>라이선스</w:t>
      </w:r>
    </w:p>
    <w:p w14:paraId="72FF9CDE" w14:textId="77777777" w:rsidR="004B0D7A" w:rsidRDefault="00000000">
      <w:r>
        <w:t>Medical-AI companies can use QMEDIC as a preprocessing, refinement, or quality-control engine. This B2B route is attractive because it can shorten sales cycles relative to direct hospital deployment.</w:t>
      </w:r>
    </w:p>
    <w:p w14:paraId="5331E2FD" w14:textId="77777777" w:rsidR="004B0D7A" w:rsidRDefault="00000000">
      <w:pPr>
        <w:pStyle w:val="SectionTitle"/>
        <w:rPr>
          <w:lang w:eastAsia="ko-KR"/>
        </w:rPr>
      </w:pPr>
      <w:r>
        <w:rPr>
          <w:lang w:eastAsia="ko-KR"/>
        </w:rPr>
        <w:lastRenderedPageBreak/>
        <w:t>10.4 OEM/</w:t>
      </w:r>
      <w:r>
        <w:rPr>
          <w:lang w:eastAsia="ko-KR"/>
        </w:rPr>
        <w:t>플랫폼</w:t>
      </w:r>
      <w:r>
        <w:rPr>
          <w:lang w:eastAsia="ko-KR"/>
        </w:rPr>
        <w:t xml:space="preserve"> </w:t>
      </w:r>
      <w:r>
        <w:rPr>
          <w:lang w:eastAsia="ko-KR"/>
        </w:rPr>
        <w:t>파트너십</w:t>
      </w:r>
      <w:r>
        <w:rPr>
          <w:lang w:eastAsia="ko-KR"/>
        </w:rPr>
        <w:t xml:space="preserve"> </w:t>
      </w:r>
      <w:r>
        <w:rPr>
          <w:lang w:eastAsia="ko-KR"/>
        </w:rPr>
        <w:t>모델</w:t>
      </w:r>
    </w:p>
    <w:p w14:paraId="3BDDE4F1" w14:textId="77777777" w:rsidR="004B0D7A" w:rsidRDefault="00000000">
      <w:r>
        <w:t>Longer term, QMEDIC can be packaged into enterprise imaging systems, viewers, PACS-related products, or device-adjacent software layers. Those models may support annual licensing, royalties, or co-sell arrangements.</w:t>
      </w:r>
    </w:p>
    <w:p w14:paraId="4AA4D402" w14:textId="77777777" w:rsidR="004B0D7A" w:rsidRDefault="00000000">
      <w:pPr>
        <w:pStyle w:val="SectionTitle"/>
        <w:rPr>
          <w:lang w:eastAsia="ko-KR"/>
        </w:rPr>
      </w:pPr>
      <w:r>
        <w:rPr>
          <w:lang w:eastAsia="ko-KR"/>
        </w:rPr>
        <w:t xml:space="preserve">10.5 SDK/API </w:t>
      </w:r>
      <w:r>
        <w:rPr>
          <w:lang w:eastAsia="ko-KR"/>
        </w:rPr>
        <w:t>및</w:t>
      </w:r>
      <w:r>
        <w:rPr>
          <w:lang w:eastAsia="ko-KR"/>
        </w:rPr>
        <w:t xml:space="preserve"> </w:t>
      </w:r>
      <w:r>
        <w:rPr>
          <w:lang w:eastAsia="ko-KR"/>
        </w:rPr>
        <w:t>개발자</w:t>
      </w:r>
      <w:r>
        <w:rPr>
          <w:lang w:eastAsia="ko-KR"/>
        </w:rPr>
        <w:t xml:space="preserve"> </w:t>
      </w:r>
      <w:r>
        <w:rPr>
          <w:lang w:eastAsia="ko-KR"/>
        </w:rPr>
        <w:t>생태계</w:t>
      </w:r>
      <w:r>
        <w:rPr>
          <w:lang w:eastAsia="ko-KR"/>
        </w:rPr>
        <w:t xml:space="preserve"> </w:t>
      </w:r>
      <w:r>
        <w:rPr>
          <w:lang w:eastAsia="ko-KR"/>
        </w:rPr>
        <w:t>확장</w:t>
      </w:r>
    </w:p>
    <w:p w14:paraId="30661E21" w14:textId="77777777" w:rsidR="004B0D7A" w:rsidRDefault="00000000">
      <w:r>
        <w:t>QMEDIC’s SDK/API strategy is important for platform evolution. IBM and MATLAB strengthen platform reach for research and enterprise workflows. OpenAI and Anthropic can support the AI supply chain for Co-pilot functions such as reasoning assistance, documentation, and natural-language interaction.</w:t>
      </w:r>
    </w:p>
    <w:p w14:paraId="589EA3D1" w14:textId="77777777" w:rsidR="004B0D7A" w:rsidRDefault="00000000">
      <w:pPr>
        <w:pStyle w:val="SectionTitle"/>
      </w:pPr>
      <w:r>
        <w:t xml:space="preserve">10.6 </w:t>
      </w:r>
      <w:r>
        <w:t>장기적</w:t>
      </w:r>
      <w:r>
        <w:t xml:space="preserve"> Recurring Revenue </w:t>
      </w:r>
      <w:r>
        <w:t>구조</w:t>
      </w:r>
    </w:p>
    <w:p w14:paraId="58FF5BDF" w14:textId="77777777" w:rsidR="004B0D7A" w:rsidRDefault="00000000">
      <w:r>
        <w:t>Over time, recurring revenue should come from SaaS subscriptions, usage fees, support contracts, premium analytics modules, partner API consumption, and enterprise platform agreements.</w:t>
      </w:r>
    </w:p>
    <w:tbl>
      <w:tblPr>
        <w:tblStyle w:val="af9"/>
        <w:tblW w:w="0" w:type="auto"/>
        <w:jc w:val="center"/>
        <w:tblLook w:val="04A0" w:firstRow="1" w:lastRow="0" w:firstColumn="1" w:lastColumn="0" w:noHBand="0" w:noVBand="1"/>
      </w:tblPr>
      <w:tblGrid>
        <w:gridCol w:w="2736"/>
        <w:gridCol w:w="6768"/>
      </w:tblGrid>
      <w:tr w:rsidR="004B0D7A" w14:paraId="007276C7" w14:textId="77777777">
        <w:trPr>
          <w:jc w:val="center"/>
        </w:trPr>
        <w:tc>
          <w:tcPr>
            <w:tcW w:w="2736" w:type="dxa"/>
            <w:shd w:val="clear" w:color="auto" w:fill="D9E7F7"/>
            <w:tcMar>
              <w:top w:w="90" w:type="dxa"/>
              <w:left w:w="90" w:type="dxa"/>
              <w:bottom w:w="90" w:type="dxa"/>
              <w:right w:w="90" w:type="dxa"/>
            </w:tcMar>
            <w:vAlign w:val="center"/>
          </w:tcPr>
          <w:p w14:paraId="577456C6" w14:textId="77777777" w:rsidR="004B0D7A" w:rsidRDefault="00000000">
            <w:r>
              <w:rPr>
                <w:b/>
                <w:color w:val="172C58"/>
              </w:rPr>
              <w:t>Revenue Stream</w:t>
            </w:r>
          </w:p>
        </w:tc>
        <w:tc>
          <w:tcPr>
            <w:tcW w:w="6768" w:type="dxa"/>
            <w:shd w:val="clear" w:color="auto" w:fill="D9E7F7"/>
            <w:tcMar>
              <w:top w:w="90" w:type="dxa"/>
              <w:left w:w="90" w:type="dxa"/>
              <w:bottom w:w="90" w:type="dxa"/>
              <w:right w:w="90" w:type="dxa"/>
            </w:tcMar>
            <w:vAlign w:val="center"/>
          </w:tcPr>
          <w:p w14:paraId="2531BED3" w14:textId="77777777" w:rsidR="004B0D7A" w:rsidRDefault="00000000">
            <w:r>
              <w:rPr>
                <w:b/>
                <w:color w:val="172C58"/>
              </w:rPr>
              <w:t>Rationale</w:t>
            </w:r>
          </w:p>
        </w:tc>
      </w:tr>
      <w:tr w:rsidR="004B0D7A" w14:paraId="2161EAA4" w14:textId="77777777">
        <w:trPr>
          <w:jc w:val="center"/>
        </w:trPr>
        <w:tc>
          <w:tcPr>
            <w:tcW w:w="2736" w:type="dxa"/>
            <w:tcMar>
              <w:top w:w="90" w:type="dxa"/>
              <w:left w:w="90" w:type="dxa"/>
              <w:bottom w:w="90" w:type="dxa"/>
              <w:right w:w="90" w:type="dxa"/>
            </w:tcMar>
            <w:vAlign w:val="center"/>
          </w:tcPr>
          <w:p w14:paraId="424366C4" w14:textId="77777777" w:rsidR="004B0D7A" w:rsidRDefault="00000000">
            <w:r>
              <w:t>Research-use SaaS</w:t>
            </w:r>
          </w:p>
        </w:tc>
        <w:tc>
          <w:tcPr>
            <w:tcW w:w="6768" w:type="dxa"/>
            <w:tcMar>
              <w:top w:w="90" w:type="dxa"/>
              <w:left w:w="90" w:type="dxa"/>
              <w:bottom w:w="90" w:type="dxa"/>
              <w:right w:w="90" w:type="dxa"/>
            </w:tcMar>
            <w:vAlign w:val="center"/>
          </w:tcPr>
          <w:p w14:paraId="2ECA4911" w14:textId="77777777" w:rsidR="004B0D7A" w:rsidRDefault="00000000">
            <w:r>
              <w:t>Fastest entry path; supports pilots, evidence capture, and repeat study processing.</w:t>
            </w:r>
          </w:p>
        </w:tc>
      </w:tr>
      <w:tr w:rsidR="004B0D7A" w14:paraId="508061AA" w14:textId="77777777">
        <w:trPr>
          <w:jc w:val="center"/>
        </w:trPr>
        <w:tc>
          <w:tcPr>
            <w:tcW w:w="2736" w:type="dxa"/>
            <w:tcMar>
              <w:top w:w="90" w:type="dxa"/>
              <w:left w:w="90" w:type="dxa"/>
              <w:bottom w:w="90" w:type="dxa"/>
              <w:right w:w="90" w:type="dxa"/>
            </w:tcMar>
            <w:vAlign w:val="center"/>
          </w:tcPr>
          <w:p w14:paraId="44736AC6" w14:textId="77777777" w:rsidR="004B0D7A" w:rsidRDefault="00000000">
            <w:r>
              <w:t>Usage-based API</w:t>
            </w:r>
          </w:p>
        </w:tc>
        <w:tc>
          <w:tcPr>
            <w:tcW w:w="6768" w:type="dxa"/>
            <w:tcMar>
              <w:top w:w="90" w:type="dxa"/>
              <w:left w:w="90" w:type="dxa"/>
              <w:bottom w:w="90" w:type="dxa"/>
              <w:right w:w="90" w:type="dxa"/>
            </w:tcMar>
            <w:vAlign w:val="center"/>
          </w:tcPr>
          <w:p w14:paraId="1AD3F590" w14:textId="77777777" w:rsidR="004B0D7A" w:rsidRDefault="00000000">
            <w:r>
              <w:t>Aligns revenue to processing volume and partner workflows.</w:t>
            </w:r>
          </w:p>
        </w:tc>
      </w:tr>
      <w:tr w:rsidR="004B0D7A" w14:paraId="5F027ADD" w14:textId="77777777">
        <w:trPr>
          <w:jc w:val="center"/>
        </w:trPr>
        <w:tc>
          <w:tcPr>
            <w:tcW w:w="2736" w:type="dxa"/>
            <w:tcMar>
              <w:top w:w="90" w:type="dxa"/>
              <w:left w:w="90" w:type="dxa"/>
              <w:bottom w:w="90" w:type="dxa"/>
              <w:right w:w="90" w:type="dxa"/>
            </w:tcMar>
            <w:vAlign w:val="center"/>
          </w:tcPr>
          <w:p w14:paraId="682F941E" w14:textId="77777777" w:rsidR="004B0D7A" w:rsidRDefault="00000000">
            <w:r>
              <w:t>B2B license</w:t>
            </w:r>
          </w:p>
        </w:tc>
        <w:tc>
          <w:tcPr>
            <w:tcW w:w="6768" w:type="dxa"/>
            <w:tcMar>
              <w:top w:w="90" w:type="dxa"/>
              <w:left w:w="90" w:type="dxa"/>
              <w:bottom w:w="90" w:type="dxa"/>
              <w:right w:w="90" w:type="dxa"/>
            </w:tcMar>
            <w:vAlign w:val="center"/>
          </w:tcPr>
          <w:p w14:paraId="0452292E" w14:textId="77777777" w:rsidR="004B0D7A" w:rsidRDefault="00000000">
            <w:r>
              <w:t>Attractive for medical-AI firms that need a reliability or refinement layer.</w:t>
            </w:r>
          </w:p>
        </w:tc>
      </w:tr>
      <w:tr w:rsidR="004B0D7A" w14:paraId="2B597767" w14:textId="77777777">
        <w:trPr>
          <w:jc w:val="center"/>
        </w:trPr>
        <w:tc>
          <w:tcPr>
            <w:tcW w:w="2736" w:type="dxa"/>
            <w:tcMar>
              <w:top w:w="90" w:type="dxa"/>
              <w:left w:w="90" w:type="dxa"/>
              <w:bottom w:w="90" w:type="dxa"/>
              <w:right w:w="90" w:type="dxa"/>
            </w:tcMar>
            <w:vAlign w:val="center"/>
          </w:tcPr>
          <w:p w14:paraId="7D30501D" w14:textId="77777777" w:rsidR="004B0D7A" w:rsidRDefault="00000000">
            <w:r>
              <w:t>OEM/platform</w:t>
            </w:r>
          </w:p>
        </w:tc>
        <w:tc>
          <w:tcPr>
            <w:tcW w:w="6768" w:type="dxa"/>
            <w:tcMar>
              <w:top w:w="90" w:type="dxa"/>
              <w:left w:w="90" w:type="dxa"/>
              <w:bottom w:w="90" w:type="dxa"/>
              <w:right w:w="90" w:type="dxa"/>
            </w:tcMar>
            <w:vAlign w:val="center"/>
          </w:tcPr>
          <w:p w14:paraId="417E74F3" w14:textId="77777777" w:rsidR="004B0D7A" w:rsidRDefault="00000000">
            <w:r>
              <w:t>Higher strategic value and long-term recurring potential once evidence matures.</w:t>
            </w:r>
          </w:p>
        </w:tc>
      </w:tr>
    </w:tbl>
    <w:p w14:paraId="48B731BA" w14:textId="4C290C43" w:rsidR="00BE3193" w:rsidRDefault="00BE3193" w:rsidP="00BE3193"/>
    <w:p w14:paraId="0563D421" w14:textId="5D7489E0" w:rsidR="004B0D7A" w:rsidRDefault="00000000">
      <w:pPr>
        <w:pStyle w:val="ChapterTitle"/>
      </w:pPr>
      <w:r>
        <w:t>11. Go-to-Market Strategy</w:t>
      </w:r>
    </w:p>
    <w:p w14:paraId="61CD9D8C" w14:textId="77777777" w:rsidR="004B0D7A" w:rsidRDefault="00000000">
      <w:pPr>
        <w:pStyle w:val="SectionTitle"/>
      </w:pPr>
      <w:r>
        <w:t xml:space="preserve">11.1 </w:t>
      </w:r>
      <w:r>
        <w:t>초기</w:t>
      </w:r>
      <w:r>
        <w:t xml:space="preserve"> </w:t>
      </w:r>
      <w:r>
        <w:t>고객</w:t>
      </w:r>
      <w:r>
        <w:t xml:space="preserve"> </w:t>
      </w:r>
      <w:r>
        <w:t>세그먼트</w:t>
      </w:r>
    </w:p>
    <w:p w14:paraId="28220078" w14:textId="77777777" w:rsidR="004B0D7A" w:rsidRDefault="00000000">
      <w:r>
        <w:t>Initial customers should be imaging-heavy research groups, innovation-focused hospital teams, clinical research units, imaging biomarker groups, and medical-AI firms that already work with complex datasets.</w:t>
      </w:r>
    </w:p>
    <w:p w14:paraId="3B78B1B1" w14:textId="77777777" w:rsidR="004B0D7A" w:rsidRDefault="00000000">
      <w:pPr>
        <w:pStyle w:val="SectionTitle"/>
      </w:pPr>
      <w:r>
        <w:t xml:space="preserve">11.2 </w:t>
      </w:r>
      <w:r>
        <w:t>시장</w:t>
      </w:r>
      <w:r>
        <w:t xml:space="preserve"> </w:t>
      </w:r>
      <w:r>
        <w:t>진입</w:t>
      </w:r>
      <w:r>
        <w:t xml:space="preserve"> </w:t>
      </w:r>
      <w:r>
        <w:t>순서</w:t>
      </w:r>
    </w:p>
    <w:p w14:paraId="2045B2B0" w14:textId="77777777" w:rsidR="004B0D7A" w:rsidRDefault="00000000">
      <w:r>
        <w:t>A rational order is research-use SaaS, repeated pilot usage, specialty workflow entry, partner channels, and then broader regulated deployment. This sequence keeps learning loops fast while building referenceable evidence.</w:t>
      </w:r>
    </w:p>
    <w:p w14:paraId="2CE4C62E" w14:textId="77777777" w:rsidR="004B0D7A" w:rsidRDefault="00000000">
      <w:pPr>
        <w:pStyle w:val="SectionTitle"/>
      </w:pPr>
      <w:r>
        <w:t xml:space="preserve">11.3 </w:t>
      </w:r>
      <w:r>
        <w:t>판매</w:t>
      </w:r>
      <w:r>
        <w:t xml:space="preserve"> </w:t>
      </w:r>
      <w:r>
        <w:t>전략</w:t>
      </w:r>
    </w:p>
    <w:p w14:paraId="5F93AE0C" w14:textId="77777777" w:rsidR="004B0D7A" w:rsidRDefault="00000000">
      <w:r>
        <w:t>Early selling should be technical and founder-led. Customers will often buy not only the product itself but also the validation plan, integration support, and confidence that the platform can fit a real workflow.</w:t>
      </w:r>
    </w:p>
    <w:p w14:paraId="3F88EC4F" w14:textId="77777777" w:rsidR="004B0D7A" w:rsidRDefault="00000000">
      <w:pPr>
        <w:pStyle w:val="SectionTitle"/>
        <w:rPr>
          <w:lang w:eastAsia="ko-KR"/>
        </w:rPr>
      </w:pPr>
      <w:r>
        <w:rPr>
          <w:lang w:eastAsia="ko-KR"/>
        </w:rPr>
        <w:lastRenderedPageBreak/>
        <w:t xml:space="preserve">11.4 </w:t>
      </w:r>
      <w:r>
        <w:rPr>
          <w:lang w:eastAsia="ko-KR"/>
        </w:rPr>
        <w:t>병원</w:t>
      </w:r>
      <w:r>
        <w:rPr>
          <w:lang w:eastAsia="ko-KR"/>
        </w:rPr>
        <w:t xml:space="preserve"> </w:t>
      </w:r>
      <w:r>
        <w:rPr>
          <w:lang w:eastAsia="ko-KR"/>
        </w:rPr>
        <w:t>및</w:t>
      </w:r>
      <w:r>
        <w:rPr>
          <w:lang w:eastAsia="ko-KR"/>
        </w:rPr>
        <w:t xml:space="preserve"> </w:t>
      </w:r>
      <w:r>
        <w:rPr>
          <w:lang w:eastAsia="ko-KR"/>
        </w:rPr>
        <w:t>연구기관</w:t>
      </w:r>
      <w:r>
        <w:rPr>
          <w:lang w:eastAsia="ko-KR"/>
        </w:rPr>
        <w:t xml:space="preserve"> </w:t>
      </w:r>
      <w:r>
        <w:rPr>
          <w:lang w:eastAsia="ko-KR"/>
        </w:rPr>
        <w:t>레퍼런스</w:t>
      </w:r>
      <w:r>
        <w:rPr>
          <w:lang w:eastAsia="ko-KR"/>
        </w:rPr>
        <w:t xml:space="preserve"> </w:t>
      </w:r>
      <w:r>
        <w:rPr>
          <w:lang w:eastAsia="ko-KR"/>
        </w:rPr>
        <w:t>전략</w:t>
      </w:r>
    </w:p>
    <w:p w14:paraId="02DE6666" w14:textId="77777777" w:rsidR="004B0D7A" w:rsidRDefault="00000000">
      <w:r>
        <w:t>Reference strategy should center on repeatable workflow outcomes, not only on institutional logos. Structured before/after casebooks, QC summaries, and repeat usage data will be especially persuasive.</w:t>
      </w:r>
    </w:p>
    <w:p w14:paraId="290B0669" w14:textId="77777777" w:rsidR="004B0D7A" w:rsidRDefault="00000000">
      <w:pPr>
        <w:pStyle w:val="SectionTitle"/>
        <w:rPr>
          <w:lang w:eastAsia="ko-KR"/>
        </w:rPr>
      </w:pPr>
      <w:r>
        <w:rPr>
          <w:lang w:eastAsia="ko-KR"/>
        </w:rPr>
        <w:t xml:space="preserve">11.5 </w:t>
      </w:r>
      <w:r>
        <w:rPr>
          <w:lang w:eastAsia="ko-KR"/>
        </w:rPr>
        <w:t>클라우드</w:t>
      </w:r>
      <w:r>
        <w:rPr>
          <w:lang w:eastAsia="ko-KR"/>
        </w:rPr>
        <w:t>/</w:t>
      </w:r>
      <w:r>
        <w:rPr>
          <w:lang w:eastAsia="ko-KR"/>
        </w:rPr>
        <w:t>플랫폼</w:t>
      </w:r>
      <w:r>
        <w:rPr>
          <w:lang w:eastAsia="ko-KR"/>
        </w:rPr>
        <w:t xml:space="preserve"> </w:t>
      </w:r>
      <w:r>
        <w:rPr>
          <w:lang w:eastAsia="ko-KR"/>
        </w:rPr>
        <w:t>파트너</w:t>
      </w:r>
      <w:r>
        <w:rPr>
          <w:lang w:eastAsia="ko-KR"/>
        </w:rPr>
        <w:t xml:space="preserve"> </w:t>
      </w:r>
      <w:r>
        <w:rPr>
          <w:lang w:eastAsia="ko-KR"/>
        </w:rPr>
        <w:t>전략</w:t>
      </w:r>
    </w:p>
    <w:p w14:paraId="2701BC32" w14:textId="77777777" w:rsidR="004B0D7A" w:rsidRDefault="00000000">
      <w:r>
        <w:t>The cloud and platform ecosystem for this draft includes AWS Healthcare, IBM, and MATLAB. The AI supply chain includes OpenAI and Anthropic to support Co-pilot capabilities and natural-language workflow functions in the QMEDIC pipeline/API.</w:t>
      </w:r>
    </w:p>
    <w:p w14:paraId="089D90AD" w14:textId="77777777" w:rsidR="004B0D7A" w:rsidRDefault="00000000">
      <w:pPr>
        <w:pStyle w:val="SectionTitle"/>
      </w:pPr>
      <w:r>
        <w:t xml:space="preserve">11.6 </w:t>
      </w:r>
      <w:r>
        <w:t>글로벌</w:t>
      </w:r>
      <w:r>
        <w:t xml:space="preserve"> </w:t>
      </w:r>
      <w:r>
        <w:t>확장</w:t>
      </w:r>
      <w:r>
        <w:t xml:space="preserve"> </w:t>
      </w:r>
      <w:r>
        <w:t>전략</w:t>
      </w:r>
    </w:p>
    <w:p w14:paraId="1FC3ED67" w14:textId="77777777" w:rsidR="004B0D7A" w:rsidRDefault="00000000">
      <w:r>
        <w:t>The United States should anchor commercialization and FDA strategy, Canada can support translational validation, and Japan can serve as a strategic expansion and industrial collaboration market.</w:t>
      </w:r>
    </w:p>
    <w:p w14:paraId="3A7756DE" w14:textId="3674D907" w:rsidR="004B0D7A" w:rsidRDefault="004B0D7A"/>
    <w:p w14:paraId="0F4C634F" w14:textId="77777777" w:rsidR="004B0D7A" w:rsidRDefault="00000000">
      <w:pPr>
        <w:pStyle w:val="ChapterTitle"/>
      </w:pPr>
      <w:r>
        <w:t>12. Regulatory &amp; Commercialization Readiness</w:t>
      </w:r>
    </w:p>
    <w:p w14:paraId="008A8D51" w14:textId="77777777" w:rsidR="004B0D7A" w:rsidRDefault="00000000">
      <w:pPr>
        <w:pStyle w:val="SectionTitle"/>
      </w:pPr>
      <w:r>
        <w:t xml:space="preserve">12.1 </w:t>
      </w:r>
      <w:r>
        <w:t>의료</w:t>
      </w:r>
      <w:r>
        <w:t xml:space="preserve"> </w:t>
      </w:r>
      <w:r>
        <w:t>소프트웨어</w:t>
      </w:r>
      <w:r>
        <w:t xml:space="preserve"> </w:t>
      </w:r>
      <w:r>
        <w:t>규제</w:t>
      </w:r>
      <w:r>
        <w:t xml:space="preserve"> </w:t>
      </w:r>
      <w:r>
        <w:t>대응</w:t>
      </w:r>
      <w:r>
        <w:t xml:space="preserve"> </w:t>
      </w:r>
      <w:r>
        <w:t>방향</w:t>
      </w:r>
    </w:p>
    <w:p w14:paraId="5E5C1811" w14:textId="77777777" w:rsidR="004B0D7A" w:rsidRDefault="00000000">
      <w:r>
        <w:t>QMEDIC’s regulatory readiness depends on clear intended use, product claims, design documentation, quality controls, and lifecycle governance. Even before a formal regulatory submission, the product should be managed in a way that makes future submission feasible.</w:t>
      </w:r>
    </w:p>
    <w:p w14:paraId="0E14347F" w14:textId="77777777" w:rsidR="004B0D7A" w:rsidRDefault="00000000">
      <w:pPr>
        <w:pStyle w:val="SectionTitle"/>
      </w:pPr>
      <w:r>
        <w:t xml:space="preserve">12.2 </w:t>
      </w:r>
      <w:r>
        <w:t>미국</w:t>
      </w:r>
      <w:r>
        <w:t xml:space="preserve"> FDA 510(k) </w:t>
      </w:r>
      <w:r>
        <w:t>준비</w:t>
      </w:r>
      <w:r>
        <w:t xml:space="preserve"> </w:t>
      </w:r>
      <w:r>
        <w:t>전략</w:t>
      </w:r>
    </w:p>
    <w:p w14:paraId="382EB5CB" w14:textId="77777777" w:rsidR="004B0D7A" w:rsidRDefault="00000000">
      <w:r>
        <w:t>An FDA strategy should begin with intended-use definition, predicate or pathway assessment, evidence requirements, software lifecycle documentation, and change-management planning for AI-enabled behavior. Research-use commercialization can run in parallel with this preparation when claims remain appropriately scoped.</w:t>
      </w:r>
    </w:p>
    <w:p w14:paraId="7300F56C" w14:textId="77777777" w:rsidR="004B0D7A" w:rsidRDefault="00000000">
      <w:pPr>
        <w:pStyle w:val="SectionTitle"/>
        <w:rPr>
          <w:lang w:eastAsia="ko-KR"/>
        </w:rPr>
      </w:pPr>
      <w:r>
        <w:rPr>
          <w:lang w:eastAsia="ko-KR"/>
        </w:rPr>
        <w:t xml:space="preserve">12.3 </w:t>
      </w:r>
      <w:r>
        <w:rPr>
          <w:lang w:eastAsia="ko-KR"/>
        </w:rPr>
        <w:t>캐나다</w:t>
      </w:r>
      <w:r>
        <w:rPr>
          <w:lang w:eastAsia="ko-KR"/>
        </w:rPr>
        <w:t xml:space="preserve"> HC, </w:t>
      </w:r>
      <w:r>
        <w:rPr>
          <w:lang w:eastAsia="ko-KR"/>
        </w:rPr>
        <w:t>일본</w:t>
      </w:r>
      <w:r>
        <w:rPr>
          <w:lang w:eastAsia="ko-KR"/>
        </w:rPr>
        <w:t xml:space="preserve"> PMDA </w:t>
      </w:r>
      <w:r>
        <w:rPr>
          <w:lang w:eastAsia="ko-KR"/>
        </w:rPr>
        <w:t>및</w:t>
      </w:r>
      <w:r>
        <w:rPr>
          <w:lang w:eastAsia="ko-KR"/>
        </w:rPr>
        <w:t xml:space="preserve"> </w:t>
      </w:r>
      <w:r>
        <w:rPr>
          <w:lang w:eastAsia="ko-KR"/>
        </w:rPr>
        <w:t>기타</w:t>
      </w:r>
      <w:r>
        <w:rPr>
          <w:lang w:eastAsia="ko-KR"/>
        </w:rPr>
        <w:t xml:space="preserve"> </w:t>
      </w:r>
      <w:r>
        <w:rPr>
          <w:lang w:eastAsia="ko-KR"/>
        </w:rPr>
        <w:t>해외</w:t>
      </w:r>
      <w:r>
        <w:rPr>
          <w:lang w:eastAsia="ko-KR"/>
        </w:rPr>
        <w:t xml:space="preserve"> </w:t>
      </w:r>
      <w:r>
        <w:rPr>
          <w:lang w:eastAsia="ko-KR"/>
        </w:rPr>
        <w:t>규제</w:t>
      </w:r>
      <w:r>
        <w:rPr>
          <w:lang w:eastAsia="ko-KR"/>
        </w:rPr>
        <w:t xml:space="preserve"> </w:t>
      </w:r>
      <w:r>
        <w:rPr>
          <w:lang w:eastAsia="ko-KR"/>
        </w:rPr>
        <w:t>확장</w:t>
      </w:r>
      <w:r>
        <w:rPr>
          <w:lang w:eastAsia="ko-KR"/>
        </w:rPr>
        <w:t xml:space="preserve"> </w:t>
      </w:r>
      <w:r>
        <w:rPr>
          <w:lang w:eastAsia="ko-KR"/>
        </w:rPr>
        <w:t>방향</w:t>
      </w:r>
    </w:p>
    <w:p w14:paraId="06D437C9" w14:textId="77777777" w:rsidR="004B0D7A" w:rsidRDefault="00000000">
      <w:r>
        <w:t>Canada and Japan each offer realistic long-term expansion routes for SaMD-related software. A North America-plus-Japan strategy can help SQK combine commercialization, evidence accumulation, and regionally relevant regulatory learning.</w:t>
      </w:r>
    </w:p>
    <w:p w14:paraId="166CBDC3" w14:textId="77777777" w:rsidR="004B0D7A" w:rsidRDefault="00000000">
      <w:pPr>
        <w:pStyle w:val="SectionTitle"/>
        <w:rPr>
          <w:lang w:eastAsia="ko-KR"/>
        </w:rPr>
      </w:pPr>
      <w:r>
        <w:rPr>
          <w:lang w:eastAsia="ko-KR"/>
        </w:rPr>
        <w:t xml:space="preserve">12.4 </w:t>
      </w:r>
      <w:r>
        <w:rPr>
          <w:lang w:eastAsia="ko-KR"/>
        </w:rPr>
        <w:t>데이터</w:t>
      </w:r>
      <w:r>
        <w:rPr>
          <w:lang w:eastAsia="ko-KR"/>
        </w:rPr>
        <w:t xml:space="preserve"> </w:t>
      </w:r>
      <w:r>
        <w:rPr>
          <w:lang w:eastAsia="ko-KR"/>
        </w:rPr>
        <w:t>보안</w:t>
      </w:r>
      <w:r>
        <w:rPr>
          <w:lang w:eastAsia="ko-KR"/>
        </w:rPr>
        <w:t xml:space="preserve"> </w:t>
      </w:r>
      <w:r>
        <w:rPr>
          <w:lang w:eastAsia="ko-KR"/>
        </w:rPr>
        <w:t>및</w:t>
      </w:r>
      <w:r>
        <w:rPr>
          <w:lang w:eastAsia="ko-KR"/>
        </w:rPr>
        <w:t xml:space="preserve"> </w:t>
      </w:r>
      <w:r>
        <w:rPr>
          <w:lang w:eastAsia="ko-KR"/>
        </w:rPr>
        <w:t>신뢰성</w:t>
      </w:r>
      <w:r>
        <w:rPr>
          <w:lang w:eastAsia="ko-KR"/>
        </w:rPr>
        <w:t xml:space="preserve"> </w:t>
      </w:r>
      <w:r>
        <w:rPr>
          <w:lang w:eastAsia="ko-KR"/>
        </w:rPr>
        <w:t>확보</w:t>
      </w:r>
    </w:p>
    <w:p w14:paraId="64B8ADF7" w14:textId="77777777" w:rsidR="004B0D7A" w:rsidRDefault="00000000">
      <w:r>
        <w:t>Security and trust architecture should include encryption, access control, audit logging, model/version tracking, tenant separation, optional de-identification pathways, and documentation-friendly operating processes.</w:t>
      </w:r>
    </w:p>
    <w:p w14:paraId="1BF6CB8D" w14:textId="77777777" w:rsidR="004B0D7A" w:rsidRDefault="00000000">
      <w:pPr>
        <w:pStyle w:val="SectionTitle"/>
        <w:rPr>
          <w:lang w:eastAsia="ko-KR"/>
        </w:rPr>
      </w:pPr>
      <w:r>
        <w:rPr>
          <w:lang w:eastAsia="ko-KR"/>
        </w:rPr>
        <w:t xml:space="preserve">12.5 </w:t>
      </w:r>
      <w:r>
        <w:rPr>
          <w:lang w:eastAsia="ko-KR"/>
        </w:rPr>
        <w:t>사업화까지의</w:t>
      </w:r>
      <w:r>
        <w:rPr>
          <w:lang w:eastAsia="ko-KR"/>
        </w:rPr>
        <w:t xml:space="preserve"> </w:t>
      </w:r>
      <w:r>
        <w:rPr>
          <w:lang w:eastAsia="ko-KR"/>
        </w:rPr>
        <w:t>주요</w:t>
      </w:r>
      <w:r>
        <w:rPr>
          <w:lang w:eastAsia="ko-KR"/>
        </w:rPr>
        <w:t xml:space="preserve"> </w:t>
      </w:r>
      <w:r>
        <w:rPr>
          <w:lang w:eastAsia="ko-KR"/>
        </w:rPr>
        <w:t>인허가</w:t>
      </w:r>
      <w:r>
        <w:rPr>
          <w:lang w:eastAsia="ko-KR"/>
        </w:rPr>
        <w:t>·</w:t>
      </w:r>
      <w:r>
        <w:rPr>
          <w:lang w:eastAsia="ko-KR"/>
        </w:rPr>
        <w:t>검증</w:t>
      </w:r>
      <w:r>
        <w:rPr>
          <w:lang w:eastAsia="ko-KR"/>
        </w:rPr>
        <w:t xml:space="preserve"> </w:t>
      </w:r>
      <w:r>
        <w:rPr>
          <w:lang w:eastAsia="ko-KR"/>
        </w:rPr>
        <w:t>로드맵</w:t>
      </w:r>
    </w:p>
    <w:p w14:paraId="65EBAC7F" w14:textId="77777777" w:rsidR="004B0D7A" w:rsidRDefault="00000000">
      <w:r>
        <w:t>The most practical roadmap is staged: research-use SaaS release, repeat pilot evidence, stronger documentation and quality controls, indication-specific validation, and eventual regulatory submission planning.</w:t>
      </w:r>
    </w:p>
    <w:p w14:paraId="1D4580E5" w14:textId="77777777" w:rsidR="004B0D7A" w:rsidRDefault="00000000">
      <w:r>
        <w:br w:type="page"/>
      </w:r>
    </w:p>
    <w:p w14:paraId="0E6E953B" w14:textId="77777777" w:rsidR="004B0D7A" w:rsidRDefault="00000000">
      <w:pPr>
        <w:pStyle w:val="ChapterTitle"/>
      </w:pPr>
      <w:r>
        <w:lastRenderedPageBreak/>
        <w:t>13. Traction &amp; Milestones</w:t>
      </w:r>
    </w:p>
    <w:p w14:paraId="435FA936" w14:textId="77777777" w:rsidR="004B0D7A" w:rsidRDefault="00000000">
      <w:pPr>
        <w:pStyle w:val="SectionTitle"/>
      </w:pPr>
      <w:r>
        <w:t xml:space="preserve">13.1 </w:t>
      </w:r>
      <w:r>
        <w:t>현재까지의</w:t>
      </w:r>
      <w:r>
        <w:t xml:space="preserve"> </w:t>
      </w:r>
      <w:r>
        <w:t>주요</w:t>
      </w:r>
      <w:r>
        <w:t xml:space="preserve"> </w:t>
      </w:r>
      <w:r>
        <w:t>성과</w:t>
      </w:r>
    </w:p>
    <w:p w14:paraId="47EB5FF9" w14:textId="77777777" w:rsidR="004B0D7A" w:rsidRDefault="00000000">
      <w:r>
        <w:t>SQK’s current strength lies in its ability to connect deep technical assets—reconstruction logic, orchestration concepts, platform thinking, and commercialization planning—into one coherent product story. QMEDIC is the clearest medical expression of that strategy.</w:t>
      </w:r>
    </w:p>
    <w:p w14:paraId="2BCDA7C1" w14:textId="77777777" w:rsidR="004B0D7A" w:rsidRDefault="00000000">
      <w:pPr>
        <w:pStyle w:val="SectionTitle"/>
      </w:pPr>
      <w:r>
        <w:t xml:space="preserve">13.2 </w:t>
      </w:r>
      <w:r>
        <w:t>기술</w:t>
      </w:r>
      <w:r>
        <w:t>·</w:t>
      </w:r>
      <w:r>
        <w:t>사업</w:t>
      </w:r>
      <w:r>
        <w:t xml:space="preserve"> </w:t>
      </w:r>
      <w:r>
        <w:t>개발</w:t>
      </w:r>
      <w:r>
        <w:t xml:space="preserve"> </w:t>
      </w:r>
      <w:r>
        <w:t>마일스톤</w:t>
      </w:r>
    </w:p>
    <w:p w14:paraId="0BA957DB" w14:textId="77777777" w:rsidR="004B0D7A" w:rsidRDefault="00000000">
      <w:r>
        <w:t>Key technical milestones include SaaS packaging, API exposure, Co-pilot deployment, quality-report automation, and partner-ready interfaces. Commercial milestones include design partners, paid pilots, recurring use, and evidence-driven expansion.</w:t>
      </w:r>
    </w:p>
    <w:p w14:paraId="7A9C1DA2" w14:textId="77777777" w:rsidR="004B0D7A" w:rsidRDefault="00000000">
      <w:pPr>
        <w:pStyle w:val="SectionTitle"/>
        <w:rPr>
          <w:lang w:eastAsia="ko-KR"/>
        </w:rPr>
      </w:pPr>
      <w:r>
        <w:rPr>
          <w:lang w:eastAsia="ko-KR"/>
        </w:rPr>
        <w:t xml:space="preserve">13.3 </w:t>
      </w:r>
      <w:r>
        <w:rPr>
          <w:lang w:eastAsia="ko-KR"/>
        </w:rPr>
        <w:t>파트너십</w:t>
      </w:r>
      <w:r>
        <w:rPr>
          <w:lang w:eastAsia="ko-KR"/>
        </w:rPr>
        <w:t xml:space="preserve"> </w:t>
      </w:r>
      <w:r>
        <w:rPr>
          <w:lang w:eastAsia="ko-KR"/>
        </w:rPr>
        <w:t>및</w:t>
      </w:r>
      <w:r>
        <w:rPr>
          <w:lang w:eastAsia="ko-KR"/>
        </w:rPr>
        <w:t xml:space="preserve"> </w:t>
      </w:r>
      <w:r>
        <w:rPr>
          <w:lang w:eastAsia="ko-KR"/>
        </w:rPr>
        <w:t>고객</w:t>
      </w:r>
      <w:r>
        <w:rPr>
          <w:lang w:eastAsia="ko-KR"/>
        </w:rPr>
        <w:t xml:space="preserve"> </w:t>
      </w:r>
      <w:r>
        <w:rPr>
          <w:lang w:eastAsia="ko-KR"/>
        </w:rPr>
        <w:t>개발</w:t>
      </w:r>
      <w:r>
        <w:rPr>
          <w:lang w:eastAsia="ko-KR"/>
        </w:rPr>
        <w:t xml:space="preserve"> </w:t>
      </w:r>
      <w:r>
        <w:rPr>
          <w:lang w:eastAsia="ko-KR"/>
        </w:rPr>
        <w:t>현황</w:t>
      </w:r>
    </w:p>
    <w:p w14:paraId="5229CF14" w14:textId="77777777" w:rsidR="004B0D7A" w:rsidRDefault="00000000">
      <w:r>
        <w:t>The development posture should treat research institutes, hospitals, ecosystem providers, and platform stakeholders as parallel contributors to both traction and product maturity.</w:t>
      </w:r>
    </w:p>
    <w:p w14:paraId="28FA1C97" w14:textId="77777777" w:rsidR="004B0D7A" w:rsidRDefault="00000000">
      <w:pPr>
        <w:pStyle w:val="SectionTitle"/>
      </w:pPr>
      <w:r>
        <w:t xml:space="preserve">13.4 </w:t>
      </w:r>
      <w:r>
        <w:t>향후</w:t>
      </w:r>
      <w:r>
        <w:t xml:space="preserve"> 12~36</w:t>
      </w:r>
      <w:r>
        <w:t>개월</w:t>
      </w:r>
      <w:r>
        <w:t xml:space="preserve"> </w:t>
      </w:r>
      <w:r>
        <w:t>주요</w:t>
      </w:r>
      <w:r>
        <w:t xml:space="preserve"> </w:t>
      </w:r>
      <w:r>
        <w:t>목표</w:t>
      </w:r>
    </w:p>
    <w:p w14:paraId="1E279D08" w14:textId="77777777" w:rsidR="004B0D7A" w:rsidRDefault="00000000">
      <w:r>
        <w:t>Over the next 12–36 months, the objective is to move from draft white paper to productized SaaS, from pilot usage to recurring accounts, and from qualitative promise to structured validation and commercialization readiness.</w:t>
      </w:r>
    </w:p>
    <w:p w14:paraId="70BFFD04" w14:textId="77777777" w:rsidR="004B0D7A" w:rsidRDefault="00000000">
      <w:pPr>
        <w:pStyle w:val="SectionTitle"/>
      </w:pPr>
      <w:r>
        <w:t xml:space="preserve">13.5 KPI </w:t>
      </w:r>
      <w:r>
        <w:t>및</w:t>
      </w:r>
      <w:r>
        <w:t xml:space="preserve"> </w:t>
      </w:r>
      <w:r>
        <w:t>매출</w:t>
      </w:r>
      <w:r>
        <w:t xml:space="preserve"> </w:t>
      </w:r>
      <w:r>
        <w:t>전환</w:t>
      </w:r>
      <w:r>
        <w:t xml:space="preserve"> </w:t>
      </w:r>
      <w:r>
        <w:t>목표</w:t>
      </w:r>
    </w:p>
    <w:p w14:paraId="105A7CBD" w14:textId="77777777" w:rsidR="004B0D7A" w:rsidRDefault="00000000">
      <w:r>
        <w:t>Practical KPIs include design partner count, paid pilot conversion, recurring usage, study throughput, validation milestones, QC-report utilization, and documentation readiness for future regulatory strategy.</w:t>
      </w:r>
    </w:p>
    <w:tbl>
      <w:tblPr>
        <w:tblStyle w:val="af9"/>
        <w:tblW w:w="0" w:type="auto"/>
        <w:jc w:val="center"/>
        <w:tblLook w:val="04A0" w:firstRow="1" w:lastRow="0" w:firstColumn="1" w:lastColumn="0" w:noHBand="0" w:noVBand="1"/>
      </w:tblPr>
      <w:tblGrid>
        <w:gridCol w:w="2448"/>
        <w:gridCol w:w="7056"/>
      </w:tblGrid>
      <w:tr w:rsidR="004B0D7A" w14:paraId="69F04903" w14:textId="77777777">
        <w:trPr>
          <w:jc w:val="center"/>
        </w:trPr>
        <w:tc>
          <w:tcPr>
            <w:tcW w:w="2448" w:type="dxa"/>
            <w:shd w:val="clear" w:color="auto" w:fill="D9E7F7"/>
            <w:tcMar>
              <w:top w:w="90" w:type="dxa"/>
              <w:left w:w="90" w:type="dxa"/>
              <w:bottom w:w="90" w:type="dxa"/>
              <w:right w:w="90" w:type="dxa"/>
            </w:tcMar>
            <w:vAlign w:val="center"/>
          </w:tcPr>
          <w:p w14:paraId="7A7022EB" w14:textId="77777777" w:rsidR="004B0D7A" w:rsidRDefault="00000000">
            <w:r>
              <w:rPr>
                <w:b/>
                <w:color w:val="172C58"/>
              </w:rPr>
              <w:t>Window</w:t>
            </w:r>
          </w:p>
        </w:tc>
        <w:tc>
          <w:tcPr>
            <w:tcW w:w="7056" w:type="dxa"/>
            <w:shd w:val="clear" w:color="auto" w:fill="D9E7F7"/>
            <w:tcMar>
              <w:top w:w="90" w:type="dxa"/>
              <w:left w:w="90" w:type="dxa"/>
              <w:bottom w:w="90" w:type="dxa"/>
              <w:right w:w="90" w:type="dxa"/>
            </w:tcMar>
            <w:vAlign w:val="center"/>
          </w:tcPr>
          <w:p w14:paraId="3AF87D6B" w14:textId="77777777" w:rsidR="004B0D7A" w:rsidRDefault="00000000">
            <w:r>
              <w:rPr>
                <w:b/>
                <w:color w:val="172C58"/>
              </w:rPr>
              <w:t>Milestones</w:t>
            </w:r>
          </w:p>
        </w:tc>
      </w:tr>
      <w:tr w:rsidR="004B0D7A" w14:paraId="1B4B9EDC" w14:textId="77777777">
        <w:trPr>
          <w:jc w:val="center"/>
        </w:trPr>
        <w:tc>
          <w:tcPr>
            <w:tcW w:w="2448" w:type="dxa"/>
            <w:tcMar>
              <w:top w:w="90" w:type="dxa"/>
              <w:left w:w="90" w:type="dxa"/>
              <w:bottom w:w="90" w:type="dxa"/>
              <w:right w:w="90" w:type="dxa"/>
            </w:tcMar>
            <w:vAlign w:val="center"/>
          </w:tcPr>
          <w:p w14:paraId="422DDB72" w14:textId="77777777" w:rsidR="004B0D7A" w:rsidRDefault="00000000">
            <w:r>
              <w:t>0–12 months</w:t>
            </w:r>
          </w:p>
        </w:tc>
        <w:tc>
          <w:tcPr>
            <w:tcW w:w="7056" w:type="dxa"/>
            <w:tcMar>
              <w:top w:w="90" w:type="dxa"/>
              <w:left w:w="90" w:type="dxa"/>
              <w:bottom w:w="90" w:type="dxa"/>
              <w:right w:w="90" w:type="dxa"/>
            </w:tcMar>
            <w:vAlign w:val="center"/>
          </w:tcPr>
          <w:p w14:paraId="744878B5" w14:textId="77777777" w:rsidR="004B0D7A" w:rsidRDefault="00000000">
            <w:r>
              <w:t>Word-packaged collateral, SaaS packaging, initial design partners, paid pilots, Co-pilot MVP.</w:t>
            </w:r>
          </w:p>
        </w:tc>
      </w:tr>
      <w:tr w:rsidR="004B0D7A" w14:paraId="50714775" w14:textId="77777777">
        <w:trPr>
          <w:jc w:val="center"/>
        </w:trPr>
        <w:tc>
          <w:tcPr>
            <w:tcW w:w="2448" w:type="dxa"/>
            <w:tcMar>
              <w:top w:w="90" w:type="dxa"/>
              <w:left w:w="90" w:type="dxa"/>
              <w:bottom w:w="90" w:type="dxa"/>
              <w:right w:w="90" w:type="dxa"/>
            </w:tcMar>
            <w:vAlign w:val="center"/>
          </w:tcPr>
          <w:p w14:paraId="3F1A0F00" w14:textId="77777777" w:rsidR="004B0D7A" w:rsidRDefault="00000000">
            <w:r>
              <w:t>12–24 months</w:t>
            </w:r>
          </w:p>
        </w:tc>
        <w:tc>
          <w:tcPr>
            <w:tcW w:w="7056" w:type="dxa"/>
            <w:tcMar>
              <w:top w:w="90" w:type="dxa"/>
              <w:left w:w="90" w:type="dxa"/>
              <w:bottom w:w="90" w:type="dxa"/>
              <w:right w:w="90" w:type="dxa"/>
            </w:tcMar>
            <w:vAlign w:val="center"/>
          </w:tcPr>
          <w:p w14:paraId="65BE4BDD" w14:textId="77777777" w:rsidR="004B0D7A" w:rsidRDefault="00000000">
            <w:r>
              <w:t>Repeat usage, broader validation, stronger evidence package, API expansion, partner channels.</w:t>
            </w:r>
          </w:p>
        </w:tc>
      </w:tr>
      <w:tr w:rsidR="004B0D7A" w14:paraId="19D09B6E" w14:textId="77777777">
        <w:trPr>
          <w:jc w:val="center"/>
        </w:trPr>
        <w:tc>
          <w:tcPr>
            <w:tcW w:w="2448" w:type="dxa"/>
            <w:tcMar>
              <w:top w:w="90" w:type="dxa"/>
              <w:left w:w="90" w:type="dxa"/>
              <w:bottom w:w="90" w:type="dxa"/>
              <w:right w:w="90" w:type="dxa"/>
            </w:tcMar>
            <w:vAlign w:val="center"/>
          </w:tcPr>
          <w:p w14:paraId="24CF3C1B" w14:textId="77777777" w:rsidR="004B0D7A" w:rsidRDefault="00000000">
            <w:r>
              <w:t>24–36 months</w:t>
            </w:r>
          </w:p>
        </w:tc>
        <w:tc>
          <w:tcPr>
            <w:tcW w:w="7056" w:type="dxa"/>
            <w:tcMar>
              <w:top w:w="90" w:type="dxa"/>
              <w:left w:w="90" w:type="dxa"/>
              <w:bottom w:w="90" w:type="dxa"/>
              <w:right w:w="90" w:type="dxa"/>
            </w:tcMar>
            <w:vAlign w:val="center"/>
          </w:tcPr>
          <w:p w14:paraId="3D41A12A" w14:textId="77777777" w:rsidR="004B0D7A" w:rsidRDefault="00000000">
            <w:r>
              <w:t>Enterprise-facing positioning, indication-focused readiness, structured regulatory preparation.</w:t>
            </w:r>
          </w:p>
        </w:tc>
      </w:tr>
    </w:tbl>
    <w:p w14:paraId="72E79643" w14:textId="77777777" w:rsidR="004B0D7A" w:rsidRDefault="00000000">
      <w:r>
        <w:br w:type="page"/>
      </w:r>
    </w:p>
    <w:p w14:paraId="397C773C" w14:textId="77777777" w:rsidR="004B0D7A" w:rsidRDefault="00000000">
      <w:pPr>
        <w:pStyle w:val="ChapterTitle"/>
      </w:pPr>
      <w:r>
        <w:lastRenderedPageBreak/>
        <w:t>14. Team &amp; Execution Capability</w:t>
      </w:r>
    </w:p>
    <w:p w14:paraId="76F70C0A" w14:textId="77777777" w:rsidR="004B0D7A" w:rsidRDefault="00000000">
      <w:pPr>
        <w:pStyle w:val="SectionTitle"/>
      </w:pPr>
      <w:r>
        <w:t xml:space="preserve">14.1 </w:t>
      </w:r>
      <w:r>
        <w:t>창업</w:t>
      </w:r>
      <w:r>
        <w:t xml:space="preserve"> </w:t>
      </w:r>
      <w:r>
        <w:t>배경과</w:t>
      </w:r>
      <w:r>
        <w:t xml:space="preserve"> </w:t>
      </w:r>
      <w:r>
        <w:t>팀</w:t>
      </w:r>
      <w:r>
        <w:t xml:space="preserve"> </w:t>
      </w:r>
      <w:r>
        <w:t>미션</w:t>
      </w:r>
    </w:p>
    <w:p w14:paraId="7E95D444" w14:textId="77777777" w:rsidR="004B0D7A" w:rsidRDefault="00000000">
      <w:r>
        <w:t>SQK’s mission is to apply quantum-AI and advanced computation to important, trust-sensitive problems. In healthcare imaging, that mission translates into a platform that improves both image quality and confidence in image quality.</w:t>
      </w:r>
    </w:p>
    <w:p w14:paraId="54FD1FA0" w14:textId="77777777" w:rsidR="004B0D7A" w:rsidRDefault="00000000">
      <w:pPr>
        <w:pStyle w:val="SectionTitle"/>
      </w:pPr>
      <w:r>
        <w:t xml:space="preserve">14.2 </w:t>
      </w:r>
      <w:r>
        <w:t>핵심</w:t>
      </w:r>
      <w:r>
        <w:t xml:space="preserve"> </w:t>
      </w:r>
      <w:r>
        <w:t>경영진</w:t>
      </w:r>
      <w:r>
        <w:t xml:space="preserve"> </w:t>
      </w:r>
      <w:r>
        <w:t>소개</w:t>
      </w:r>
    </w:p>
    <w:p w14:paraId="0DB31EC3" w14:textId="77777777" w:rsidR="004B0D7A" w:rsidRDefault="00000000">
      <w:r>
        <w:t>The leadership narrative should emphasize cross-functional capability: technical depth, commercialization execution, partner development, and the ability to convert emerging science into partner-facing products.</w:t>
      </w:r>
    </w:p>
    <w:p w14:paraId="2BAFC5F4" w14:textId="77777777" w:rsidR="004B0D7A" w:rsidRDefault="00000000">
      <w:pPr>
        <w:pStyle w:val="SectionTitle"/>
      </w:pPr>
      <w:r>
        <w:t xml:space="preserve">14.3 </w:t>
      </w:r>
      <w:r>
        <w:t>기술</w:t>
      </w:r>
      <w:r>
        <w:t>·</w:t>
      </w:r>
      <w:r>
        <w:t>사업화</w:t>
      </w:r>
      <w:r>
        <w:t xml:space="preserve"> </w:t>
      </w:r>
      <w:r>
        <w:t>실행</w:t>
      </w:r>
      <w:r>
        <w:t xml:space="preserve"> </w:t>
      </w:r>
      <w:r>
        <w:t>역량</w:t>
      </w:r>
    </w:p>
    <w:p w14:paraId="1149F471" w14:textId="77777777" w:rsidR="004B0D7A" w:rsidRDefault="00000000">
      <w:r>
        <w:t>Execution capacity matters more than technical novelty alone. QMEDIC’s white paper should therefore make clear that SQK is building not only a model, but a customer-ready product and a scalable commercialization engine.</w:t>
      </w:r>
    </w:p>
    <w:p w14:paraId="5D333B83" w14:textId="77777777" w:rsidR="004B0D7A" w:rsidRDefault="00000000">
      <w:pPr>
        <w:pStyle w:val="SectionTitle"/>
        <w:rPr>
          <w:lang w:eastAsia="ko-KR"/>
        </w:rPr>
      </w:pPr>
      <w:r>
        <w:rPr>
          <w:lang w:eastAsia="ko-KR"/>
        </w:rPr>
        <w:t xml:space="preserve">14.4 </w:t>
      </w:r>
      <w:r>
        <w:rPr>
          <w:lang w:eastAsia="ko-KR"/>
        </w:rPr>
        <w:t>외부</w:t>
      </w:r>
      <w:r>
        <w:rPr>
          <w:lang w:eastAsia="ko-KR"/>
        </w:rPr>
        <w:t xml:space="preserve"> </w:t>
      </w:r>
      <w:r>
        <w:rPr>
          <w:lang w:eastAsia="ko-KR"/>
        </w:rPr>
        <w:t>파트너</w:t>
      </w:r>
      <w:r>
        <w:rPr>
          <w:lang w:eastAsia="ko-KR"/>
        </w:rPr>
        <w:t xml:space="preserve"> </w:t>
      </w:r>
      <w:r>
        <w:rPr>
          <w:lang w:eastAsia="ko-KR"/>
        </w:rPr>
        <w:t>및</w:t>
      </w:r>
      <w:r>
        <w:rPr>
          <w:lang w:eastAsia="ko-KR"/>
        </w:rPr>
        <w:t xml:space="preserve"> </w:t>
      </w:r>
      <w:r>
        <w:rPr>
          <w:lang w:eastAsia="ko-KR"/>
        </w:rPr>
        <w:t>자문</w:t>
      </w:r>
      <w:r>
        <w:rPr>
          <w:lang w:eastAsia="ko-KR"/>
        </w:rPr>
        <w:t xml:space="preserve"> </w:t>
      </w:r>
      <w:r>
        <w:rPr>
          <w:lang w:eastAsia="ko-KR"/>
        </w:rPr>
        <w:t>네트워크</w:t>
      </w:r>
    </w:p>
    <w:p w14:paraId="117EEDBB" w14:textId="77777777" w:rsidR="004B0D7A" w:rsidRDefault="00000000">
      <w:r>
        <w:t>Clinical, research, platform, and AI ecosystem relationships are all important. This draft includes AWS Healthcare, IBM, and MATLAB as cloud/platform ecosystem elements, and OpenAI and Anthropic as part of the AI supply chain concept for the QMEDIC pipeline/API.</w:t>
      </w:r>
    </w:p>
    <w:p w14:paraId="4D72C9F1" w14:textId="77777777" w:rsidR="004B0D7A" w:rsidRDefault="00000000">
      <w:pPr>
        <w:pStyle w:val="SectionTitle"/>
        <w:rPr>
          <w:lang w:eastAsia="ko-KR"/>
        </w:rPr>
      </w:pPr>
      <w:r>
        <w:rPr>
          <w:lang w:eastAsia="ko-KR"/>
        </w:rPr>
        <w:t>14.5 SQK</w:t>
      </w:r>
      <w:r>
        <w:rPr>
          <w:lang w:eastAsia="ko-KR"/>
        </w:rPr>
        <w:t>가</w:t>
      </w:r>
      <w:r>
        <w:rPr>
          <w:lang w:eastAsia="ko-KR"/>
        </w:rPr>
        <w:t xml:space="preserve"> </w:t>
      </w:r>
      <w:r>
        <w:rPr>
          <w:lang w:eastAsia="ko-KR"/>
        </w:rPr>
        <w:t>실행할</w:t>
      </w:r>
      <w:r>
        <w:rPr>
          <w:lang w:eastAsia="ko-KR"/>
        </w:rPr>
        <w:t xml:space="preserve"> </w:t>
      </w:r>
      <w:r>
        <w:rPr>
          <w:lang w:eastAsia="ko-KR"/>
        </w:rPr>
        <w:t>수</w:t>
      </w:r>
      <w:r>
        <w:rPr>
          <w:lang w:eastAsia="ko-KR"/>
        </w:rPr>
        <w:t xml:space="preserve"> </w:t>
      </w:r>
      <w:r>
        <w:rPr>
          <w:lang w:eastAsia="ko-KR"/>
        </w:rPr>
        <w:t>있는</w:t>
      </w:r>
      <w:r>
        <w:rPr>
          <w:lang w:eastAsia="ko-KR"/>
        </w:rPr>
        <w:t xml:space="preserve"> </w:t>
      </w:r>
      <w:r>
        <w:rPr>
          <w:lang w:eastAsia="ko-KR"/>
        </w:rPr>
        <w:t>이유</w:t>
      </w:r>
    </w:p>
    <w:p w14:paraId="47BA066E" w14:textId="77777777" w:rsidR="004B0D7A" w:rsidRDefault="00000000">
      <w:r>
        <w:t>SQK can execute because it is aligning product design, research evidence, ecosystem positioning, and commercialization sequencing into a single plan rather than treating them as separate projects.</w:t>
      </w:r>
    </w:p>
    <w:p w14:paraId="469588AC" w14:textId="3EA638D6" w:rsidR="004B0D7A" w:rsidRDefault="004B0D7A"/>
    <w:p w14:paraId="71A8F8BC" w14:textId="77777777" w:rsidR="004B0D7A" w:rsidRDefault="00000000">
      <w:pPr>
        <w:pStyle w:val="ChapterTitle"/>
      </w:pPr>
      <w:r>
        <w:t>15. Financial Outlook</w:t>
      </w:r>
    </w:p>
    <w:p w14:paraId="7A5B44B9" w14:textId="77777777" w:rsidR="004B0D7A" w:rsidRDefault="00000000">
      <w:pPr>
        <w:pStyle w:val="SectionTitle"/>
      </w:pPr>
      <w:r>
        <w:t xml:space="preserve">15.1 </w:t>
      </w:r>
      <w:r>
        <w:t>매출</w:t>
      </w:r>
      <w:r>
        <w:t xml:space="preserve"> </w:t>
      </w:r>
      <w:r>
        <w:t>가정</w:t>
      </w:r>
      <w:r>
        <w:t xml:space="preserve"> </w:t>
      </w:r>
      <w:r>
        <w:t>및</w:t>
      </w:r>
      <w:r>
        <w:t xml:space="preserve"> </w:t>
      </w:r>
      <w:r>
        <w:t>성장</w:t>
      </w:r>
      <w:r>
        <w:t xml:space="preserve"> </w:t>
      </w:r>
      <w:r>
        <w:t>시나리오</w:t>
      </w:r>
    </w:p>
    <w:p w14:paraId="1A6853F0" w14:textId="77777777" w:rsidR="004B0D7A" w:rsidRDefault="00000000">
      <w:r>
        <w:t>Revenue scenarios should be modeled in stages: early validation revenue, recurring SaaS growth, and platform or enterprise expansion. That framework reflects how deep-tech healthcare software typically matures.</w:t>
      </w:r>
    </w:p>
    <w:p w14:paraId="2F68D2DD" w14:textId="77777777" w:rsidR="004B0D7A" w:rsidRDefault="00000000">
      <w:pPr>
        <w:pStyle w:val="SectionTitle"/>
      </w:pPr>
      <w:r>
        <w:t xml:space="preserve">15.2 </w:t>
      </w:r>
      <w:r>
        <w:t>비용</w:t>
      </w:r>
      <w:r>
        <w:t xml:space="preserve"> </w:t>
      </w:r>
      <w:r>
        <w:t>구조</w:t>
      </w:r>
      <w:r>
        <w:t xml:space="preserve"> </w:t>
      </w:r>
      <w:r>
        <w:t>개요</w:t>
      </w:r>
    </w:p>
    <w:p w14:paraId="636E365C" w14:textId="77777777" w:rsidR="004B0D7A" w:rsidRDefault="00000000">
      <w:r>
        <w:t>Major cost categories include engineering, cloud infrastructure, validation and clinical support, compliance preparation, business development, and customer success.</w:t>
      </w:r>
    </w:p>
    <w:p w14:paraId="16284B9B" w14:textId="77777777" w:rsidR="004B0D7A" w:rsidRDefault="00000000">
      <w:pPr>
        <w:pStyle w:val="SectionTitle"/>
      </w:pPr>
      <w:r>
        <w:t xml:space="preserve">15.3 </w:t>
      </w:r>
      <w:r>
        <w:t>수익화</w:t>
      </w:r>
      <w:r>
        <w:t xml:space="preserve"> </w:t>
      </w:r>
      <w:r>
        <w:t>전개</w:t>
      </w:r>
      <w:r>
        <w:t xml:space="preserve"> </w:t>
      </w:r>
      <w:r>
        <w:t>로드맵</w:t>
      </w:r>
    </w:p>
    <w:p w14:paraId="22E9272B" w14:textId="77777777" w:rsidR="004B0D7A" w:rsidRDefault="00000000">
      <w:r>
        <w:t>The initial objective is not immediate margin maximization but efficient conversion from pilot to recurring value. Over time, the revenue mix should become more durable and more software-like.</w:t>
      </w:r>
    </w:p>
    <w:p w14:paraId="65905664" w14:textId="77777777" w:rsidR="004B0D7A" w:rsidRDefault="00000000">
      <w:pPr>
        <w:pStyle w:val="SectionTitle"/>
      </w:pPr>
      <w:r>
        <w:lastRenderedPageBreak/>
        <w:t xml:space="preserve">15.4 </w:t>
      </w:r>
      <w:r>
        <w:t>주요</w:t>
      </w:r>
      <w:r>
        <w:t xml:space="preserve"> </w:t>
      </w:r>
      <w:r>
        <w:t>재무</w:t>
      </w:r>
      <w:r>
        <w:t xml:space="preserve"> KPI</w:t>
      </w:r>
    </w:p>
    <w:p w14:paraId="6D4F15E3" w14:textId="77777777" w:rsidR="004B0D7A" w:rsidRDefault="00000000">
      <w:r>
        <w:t>Key financial KPIs include annual recurring revenue, pilot ACV, gross margin, cloud cost per study, customer acquisition cycle, repeat-use rate, and expansion revenue.</w:t>
      </w:r>
    </w:p>
    <w:p w14:paraId="0E07A452" w14:textId="77777777" w:rsidR="004B0D7A" w:rsidRDefault="00000000">
      <w:pPr>
        <w:pStyle w:val="SectionTitle"/>
      </w:pPr>
      <w:r>
        <w:t xml:space="preserve">15.5 </w:t>
      </w:r>
      <w:r>
        <w:t>투자</w:t>
      </w:r>
      <w:r>
        <w:t xml:space="preserve"> </w:t>
      </w:r>
      <w:r>
        <w:t>이후</w:t>
      </w:r>
      <w:r>
        <w:t xml:space="preserve"> </w:t>
      </w:r>
      <w:r>
        <w:t>기대</w:t>
      </w:r>
      <w:r>
        <w:t xml:space="preserve"> </w:t>
      </w:r>
      <w:r>
        <w:t>성과</w:t>
      </w:r>
    </w:p>
    <w:p w14:paraId="5637A532" w14:textId="77777777" w:rsidR="004B0D7A" w:rsidRDefault="00000000">
      <w:r>
        <w:t>After investment, the major uplift should come not only in revenue but in product maturity, reference quality, regulatory preparedness, and platform valuation potential.</w:t>
      </w:r>
    </w:p>
    <w:p w14:paraId="2FC94CFA" w14:textId="06D64E30" w:rsidR="004B0D7A" w:rsidRDefault="004B0D7A"/>
    <w:p w14:paraId="589AD62E" w14:textId="77777777" w:rsidR="004B0D7A" w:rsidRDefault="00000000">
      <w:pPr>
        <w:pStyle w:val="ChapterTitle"/>
      </w:pPr>
      <w:r>
        <w:t>16. Use of Funds</w:t>
      </w:r>
    </w:p>
    <w:p w14:paraId="471787DD" w14:textId="77777777" w:rsidR="004B0D7A" w:rsidRDefault="00000000">
      <w:pPr>
        <w:pStyle w:val="SectionTitle"/>
      </w:pPr>
      <w:r>
        <w:t xml:space="preserve">16.1 </w:t>
      </w:r>
      <w:r>
        <w:t>투자금</w:t>
      </w:r>
      <w:r>
        <w:t xml:space="preserve"> </w:t>
      </w:r>
      <w:r>
        <w:t>활용</w:t>
      </w:r>
      <w:r>
        <w:t xml:space="preserve"> </w:t>
      </w:r>
      <w:r>
        <w:t>계획</w:t>
      </w:r>
    </w:p>
    <w:p w14:paraId="6CC40B5D" w14:textId="77777777" w:rsidR="004B0D7A" w:rsidRDefault="00000000">
      <w:r>
        <w:t>Capital should be deployed into productization, evidence generation, security/compliance readiness, GTM acceleration, and key hires. These categories directly support both near-term traction and long-term defensibility.</w:t>
      </w:r>
    </w:p>
    <w:p w14:paraId="37F4E612" w14:textId="77777777" w:rsidR="004B0D7A" w:rsidRDefault="00000000">
      <w:pPr>
        <w:pStyle w:val="SectionTitle"/>
      </w:pPr>
      <w:r>
        <w:t xml:space="preserve">16.2 </w:t>
      </w:r>
      <w:r>
        <w:t>기술개발</w:t>
      </w:r>
      <w:r>
        <w:t xml:space="preserve"> </w:t>
      </w:r>
      <w:r>
        <w:t>고도화</w:t>
      </w:r>
    </w:p>
    <w:p w14:paraId="492B20F9" w14:textId="77777777" w:rsidR="004B0D7A" w:rsidRDefault="00000000">
      <w:r>
        <w:t>Technical development should prioritize core imaging performance, reliability controls, API maturity, Co-pilot functions, observability, and orchestration-ready architecture.</w:t>
      </w:r>
    </w:p>
    <w:p w14:paraId="169CC188" w14:textId="77777777" w:rsidR="004B0D7A" w:rsidRDefault="00000000">
      <w:pPr>
        <w:pStyle w:val="SectionTitle"/>
      </w:pPr>
      <w:r>
        <w:t xml:space="preserve">16.3 </w:t>
      </w:r>
      <w:r>
        <w:t>임상</w:t>
      </w:r>
      <w:r>
        <w:t>·</w:t>
      </w:r>
      <w:r>
        <w:t>규제</w:t>
      </w:r>
      <w:r>
        <w:t xml:space="preserve"> </w:t>
      </w:r>
      <w:r>
        <w:t>대응</w:t>
      </w:r>
    </w:p>
    <w:p w14:paraId="16B9466A" w14:textId="77777777" w:rsidR="004B0D7A" w:rsidRDefault="00000000">
      <w:r>
        <w:t>Clinical and regulatory readiness activities include structured validation, documentation, lifecycle management, quality controls, and region-specific regulatory planning.</w:t>
      </w:r>
    </w:p>
    <w:p w14:paraId="5CCF1956" w14:textId="77777777" w:rsidR="004B0D7A" w:rsidRDefault="00000000">
      <w:pPr>
        <w:pStyle w:val="SectionTitle"/>
      </w:pPr>
      <w:r>
        <w:t xml:space="preserve">16.4 </w:t>
      </w:r>
      <w:r>
        <w:t>영업</w:t>
      </w:r>
      <w:r>
        <w:t>·</w:t>
      </w:r>
      <w:r>
        <w:t>사업개발</w:t>
      </w:r>
      <w:r>
        <w:t xml:space="preserve"> </w:t>
      </w:r>
      <w:r>
        <w:t>확대</w:t>
      </w:r>
    </w:p>
    <w:p w14:paraId="100BE75D" w14:textId="77777777" w:rsidR="004B0D7A" w:rsidRDefault="00000000">
      <w:r>
        <w:t>Business-development investments should target design partner acquisition, ecosystem outreach, conference visibility, pilot management, and enterprise relationship building.</w:t>
      </w:r>
    </w:p>
    <w:p w14:paraId="33B79C93" w14:textId="77777777" w:rsidR="004B0D7A" w:rsidRDefault="00000000">
      <w:pPr>
        <w:pStyle w:val="SectionTitle"/>
      </w:pPr>
      <w:r>
        <w:t xml:space="preserve">16.5 </w:t>
      </w:r>
      <w:r>
        <w:t>인재</w:t>
      </w:r>
      <w:r>
        <w:t xml:space="preserve"> </w:t>
      </w:r>
      <w:r>
        <w:t>채용</w:t>
      </w:r>
      <w:r>
        <w:t xml:space="preserve"> </w:t>
      </w:r>
      <w:r>
        <w:t>및</w:t>
      </w:r>
      <w:r>
        <w:t xml:space="preserve"> </w:t>
      </w:r>
      <w:r>
        <w:t>글로벌</w:t>
      </w:r>
      <w:r>
        <w:t xml:space="preserve"> </w:t>
      </w:r>
      <w:r>
        <w:t>진출</w:t>
      </w:r>
    </w:p>
    <w:p w14:paraId="25FE7950" w14:textId="77777777" w:rsidR="004B0D7A" w:rsidRDefault="00000000">
      <w:r>
        <w:t>Strategic hires may include platform engineers, imaging/ML engineers, clinical product specialists, compliance or regulatory leads, and dedicated BD leadership for North America and strategic overseas channels.</w:t>
      </w:r>
    </w:p>
    <w:p w14:paraId="2E80B799" w14:textId="77777777" w:rsidR="004B0D7A" w:rsidRDefault="00000000">
      <w:r>
        <w:br w:type="page"/>
      </w:r>
    </w:p>
    <w:p w14:paraId="1B1031A4" w14:textId="77777777" w:rsidR="004B0D7A" w:rsidRDefault="00000000">
      <w:pPr>
        <w:pStyle w:val="ChapterTitle"/>
      </w:pPr>
      <w:r>
        <w:lastRenderedPageBreak/>
        <w:t>17. Risks &amp; Mitigation</w:t>
      </w:r>
    </w:p>
    <w:p w14:paraId="574D17E0" w14:textId="77777777" w:rsidR="004B0D7A" w:rsidRDefault="00000000">
      <w:pPr>
        <w:pStyle w:val="SectionTitle"/>
      </w:pPr>
      <w:r>
        <w:t xml:space="preserve">17.1 </w:t>
      </w:r>
      <w:r>
        <w:t>기술</w:t>
      </w:r>
      <w:r>
        <w:t xml:space="preserve"> </w:t>
      </w:r>
      <w:r>
        <w:t>리스크</w:t>
      </w:r>
    </w:p>
    <w:p w14:paraId="4399C82A" w14:textId="77777777" w:rsidR="004B0D7A" w:rsidRDefault="00000000">
      <w:r>
        <w:t>Performance variability across protocols, sites, and modalities is a real technical risk. This is why staged validation, conservative operating modes, benchmarking discipline, and transparent QC outputs are central to QMEDIC’s architecture.</w:t>
      </w:r>
    </w:p>
    <w:p w14:paraId="7DA0BA49" w14:textId="77777777" w:rsidR="004B0D7A" w:rsidRDefault="00000000">
      <w:pPr>
        <w:pStyle w:val="SectionTitle"/>
      </w:pPr>
      <w:r>
        <w:t xml:space="preserve">17.2 </w:t>
      </w:r>
      <w:r>
        <w:t>규제</w:t>
      </w:r>
      <w:r>
        <w:t xml:space="preserve"> </w:t>
      </w:r>
      <w:r>
        <w:t>리스크</w:t>
      </w:r>
    </w:p>
    <w:p w14:paraId="1A178A38" w14:textId="77777777" w:rsidR="004B0D7A" w:rsidRDefault="00000000">
      <w:r>
        <w:t>Regulatory risk emerges when claims outpace evidence or when lifecycle documentation is incomplete. SQK can reduce this risk by implementing documentation and quality logic early, even before a full submission program begins.</w:t>
      </w:r>
    </w:p>
    <w:p w14:paraId="141E3806" w14:textId="77777777" w:rsidR="004B0D7A" w:rsidRDefault="00000000">
      <w:pPr>
        <w:pStyle w:val="SectionTitle"/>
      </w:pPr>
      <w:r>
        <w:t xml:space="preserve">17.3 </w:t>
      </w:r>
      <w:r>
        <w:t>시장</w:t>
      </w:r>
      <w:r>
        <w:t xml:space="preserve"> </w:t>
      </w:r>
      <w:r>
        <w:t>진입</w:t>
      </w:r>
      <w:r>
        <w:t xml:space="preserve"> </w:t>
      </w:r>
      <w:r>
        <w:t>리스크</w:t>
      </w:r>
    </w:p>
    <w:p w14:paraId="66580210" w14:textId="77777777" w:rsidR="004B0D7A" w:rsidRDefault="00000000">
      <w:r>
        <w:t>Hospital sales cycles may be long and operational adoption can stall without a clear champion. The initial research-market strategy is a deliberate mitigation against that reality.</w:t>
      </w:r>
    </w:p>
    <w:p w14:paraId="59540F61" w14:textId="77777777" w:rsidR="004B0D7A" w:rsidRDefault="00000000">
      <w:pPr>
        <w:pStyle w:val="SectionTitle"/>
      </w:pPr>
      <w:r>
        <w:t xml:space="preserve">17.4 </w:t>
      </w:r>
      <w:r>
        <w:t>고객</w:t>
      </w:r>
      <w:r>
        <w:t xml:space="preserve"> </w:t>
      </w:r>
      <w:r>
        <w:t>도입</w:t>
      </w:r>
      <w:r>
        <w:t xml:space="preserve"> </w:t>
      </w:r>
      <w:r>
        <w:t>리스크</w:t>
      </w:r>
    </w:p>
    <w:p w14:paraId="08DEE7D7" w14:textId="77777777" w:rsidR="004B0D7A" w:rsidRDefault="00000000">
      <w:r>
        <w:t>Even technically strong products can fail if they do not fit workflow. QMEDIC addresses this through API-first design, QC outputs, Co-pilot guidance, and phased integration models.</w:t>
      </w:r>
    </w:p>
    <w:p w14:paraId="6A70D049" w14:textId="77777777" w:rsidR="004B0D7A" w:rsidRDefault="00000000">
      <w:pPr>
        <w:pStyle w:val="SectionTitle"/>
      </w:pPr>
      <w:r>
        <w:t xml:space="preserve">17.5 </w:t>
      </w:r>
      <w:r>
        <w:t>대응</w:t>
      </w:r>
      <w:r>
        <w:t xml:space="preserve"> </w:t>
      </w:r>
      <w:r>
        <w:t>전략</w:t>
      </w:r>
      <w:r>
        <w:t xml:space="preserve"> </w:t>
      </w:r>
      <w:r>
        <w:t>및</w:t>
      </w:r>
      <w:r>
        <w:t xml:space="preserve"> </w:t>
      </w:r>
      <w:r>
        <w:t>실행</w:t>
      </w:r>
      <w:r>
        <w:t xml:space="preserve"> </w:t>
      </w:r>
      <w:r>
        <w:t>계획</w:t>
      </w:r>
    </w:p>
    <w:p w14:paraId="04F36EAB" w14:textId="77777777" w:rsidR="004B0D7A" w:rsidRDefault="00000000">
      <w:r>
        <w:t>The overall mitigation strategy is staged de-risking: early commercial use in research settings, repeated evidence capture, product hardening, partner development, and then expansion to more complex and regulated environments.</w:t>
      </w:r>
    </w:p>
    <w:p w14:paraId="2F2BDC20" w14:textId="77777777" w:rsidR="00BE3193" w:rsidRDefault="00BE3193"/>
    <w:p w14:paraId="55CA837A" w14:textId="77777777" w:rsidR="004B0D7A" w:rsidRDefault="00000000">
      <w:pPr>
        <w:pStyle w:val="ChapterTitle"/>
      </w:pPr>
      <w:r>
        <w:t>18. Exit &amp; Long-Term Upside</w:t>
      </w:r>
    </w:p>
    <w:p w14:paraId="5522C659" w14:textId="77777777" w:rsidR="004B0D7A" w:rsidRDefault="00000000">
      <w:pPr>
        <w:pStyle w:val="SectionTitle"/>
      </w:pPr>
      <w:r>
        <w:t xml:space="preserve">18.1 </w:t>
      </w:r>
      <w:r>
        <w:t>전략적</w:t>
      </w:r>
      <w:r>
        <w:t xml:space="preserve"> </w:t>
      </w:r>
      <w:r>
        <w:t>확장</w:t>
      </w:r>
      <w:r>
        <w:t xml:space="preserve"> </w:t>
      </w:r>
      <w:r>
        <w:t>가능성</w:t>
      </w:r>
    </w:p>
    <w:p w14:paraId="322014CE" w14:textId="77777777" w:rsidR="004B0D7A" w:rsidRDefault="00000000">
      <w:r>
        <w:t>QMEDIC can expand from a reconstruction/refinement platform into a broader imaging reliability layer for research, enterprise analytics, and partner ecosystems.</w:t>
      </w:r>
    </w:p>
    <w:p w14:paraId="13CAFFD3" w14:textId="77777777" w:rsidR="004B0D7A" w:rsidRDefault="00000000">
      <w:pPr>
        <w:pStyle w:val="SectionTitle"/>
      </w:pPr>
      <w:r>
        <w:t xml:space="preserve">18.2 </w:t>
      </w:r>
      <w:r>
        <w:t>인접</w:t>
      </w:r>
      <w:r>
        <w:t xml:space="preserve"> </w:t>
      </w:r>
      <w:r>
        <w:t>시장</w:t>
      </w:r>
      <w:r>
        <w:t xml:space="preserve"> </w:t>
      </w:r>
      <w:r>
        <w:t>진출</w:t>
      </w:r>
      <w:r>
        <w:t xml:space="preserve"> </w:t>
      </w:r>
      <w:r>
        <w:t>가능성</w:t>
      </w:r>
    </w:p>
    <w:p w14:paraId="6DC50516" w14:textId="77777777" w:rsidR="004B0D7A" w:rsidRDefault="00000000">
      <w:r>
        <w:t>Adjacent opportunities may include pathology imaging, advanced microscopy, photoacoustic reconstruction, scientific imaging, and other domains where physical consistency and AI-guided refinement matter.</w:t>
      </w:r>
    </w:p>
    <w:p w14:paraId="3A61091D" w14:textId="77777777" w:rsidR="004B0D7A" w:rsidRDefault="00000000">
      <w:pPr>
        <w:pStyle w:val="SectionTitle"/>
        <w:rPr>
          <w:lang w:eastAsia="ko-KR"/>
        </w:rPr>
      </w:pPr>
      <w:r>
        <w:rPr>
          <w:lang w:eastAsia="ko-KR"/>
        </w:rPr>
        <w:t xml:space="preserve">18.3 </w:t>
      </w:r>
      <w:r>
        <w:rPr>
          <w:lang w:eastAsia="ko-KR"/>
        </w:rPr>
        <w:t>플랫폼</w:t>
      </w:r>
      <w:r>
        <w:rPr>
          <w:lang w:eastAsia="ko-KR"/>
        </w:rPr>
        <w:t xml:space="preserve"> </w:t>
      </w:r>
      <w:r>
        <w:rPr>
          <w:lang w:eastAsia="ko-KR"/>
        </w:rPr>
        <w:t>기업으로의</w:t>
      </w:r>
      <w:r>
        <w:rPr>
          <w:lang w:eastAsia="ko-KR"/>
        </w:rPr>
        <w:t xml:space="preserve"> </w:t>
      </w:r>
      <w:r>
        <w:rPr>
          <w:lang w:eastAsia="ko-KR"/>
        </w:rPr>
        <w:t>진화</w:t>
      </w:r>
      <w:r>
        <w:rPr>
          <w:lang w:eastAsia="ko-KR"/>
        </w:rPr>
        <w:t xml:space="preserve"> </w:t>
      </w:r>
      <w:r>
        <w:rPr>
          <w:lang w:eastAsia="ko-KR"/>
        </w:rPr>
        <w:t>가능성</w:t>
      </w:r>
    </w:p>
    <w:p w14:paraId="37A77B92" w14:textId="77777777" w:rsidR="004B0D7A" w:rsidRDefault="00000000">
      <w:r>
        <w:t>If QMEDIC successfully extends its API, partner, and Co-pilot layers, SQK can evolve from a product company into a platform company with stronger strategic defensibility.</w:t>
      </w:r>
    </w:p>
    <w:p w14:paraId="2F3C684E" w14:textId="77777777" w:rsidR="004B0D7A" w:rsidRDefault="00000000">
      <w:pPr>
        <w:pStyle w:val="SectionTitle"/>
        <w:rPr>
          <w:lang w:eastAsia="ko-KR"/>
        </w:rPr>
      </w:pPr>
      <w:r>
        <w:rPr>
          <w:lang w:eastAsia="ko-KR"/>
        </w:rPr>
        <w:lastRenderedPageBreak/>
        <w:t xml:space="preserve">18.4 </w:t>
      </w:r>
      <w:r>
        <w:rPr>
          <w:lang w:eastAsia="ko-KR"/>
        </w:rPr>
        <w:t>잠재적</w:t>
      </w:r>
      <w:r>
        <w:rPr>
          <w:lang w:eastAsia="ko-KR"/>
        </w:rPr>
        <w:t xml:space="preserve"> M&amp;A/</w:t>
      </w:r>
      <w:r>
        <w:rPr>
          <w:lang w:eastAsia="ko-KR"/>
        </w:rPr>
        <w:t>전략적</w:t>
      </w:r>
      <w:r>
        <w:rPr>
          <w:lang w:eastAsia="ko-KR"/>
        </w:rPr>
        <w:t xml:space="preserve"> </w:t>
      </w:r>
      <w:r>
        <w:rPr>
          <w:lang w:eastAsia="ko-KR"/>
        </w:rPr>
        <w:t>파트너십</w:t>
      </w:r>
      <w:r>
        <w:rPr>
          <w:lang w:eastAsia="ko-KR"/>
        </w:rPr>
        <w:t xml:space="preserve"> </w:t>
      </w:r>
      <w:r>
        <w:rPr>
          <w:lang w:eastAsia="ko-KR"/>
        </w:rPr>
        <w:t>관점</w:t>
      </w:r>
    </w:p>
    <w:p w14:paraId="3B7A5120" w14:textId="77777777" w:rsidR="004B0D7A" w:rsidRDefault="00000000">
      <w:r>
        <w:t>Potential strategic interest could come from enterprise imaging vendors, PACS-related software groups, medical-AI platforms, device-adjacent software companies, and cloud- or workflow-driven healthcare technology players.</w:t>
      </w:r>
    </w:p>
    <w:p w14:paraId="5E871BD4" w14:textId="77777777" w:rsidR="004B0D7A" w:rsidRDefault="00000000">
      <w:pPr>
        <w:pStyle w:val="SectionTitle"/>
      </w:pPr>
      <w:r>
        <w:t xml:space="preserve">18.5 </w:t>
      </w:r>
      <w:r>
        <w:t>장기</w:t>
      </w:r>
      <w:r>
        <w:t xml:space="preserve"> </w:t>
      </w:r>
      <w:r>
        <w:t>기업가치</w:t>
      </w:r>
      <w:r>
        <w:t xml:space="preserve"> </w:t>
      </w:r>
      <w:r>
        <w:t>상승</w:t>
      </w:r>
      <w:r>
        <w:t xml:space="preserve"> </w:t>
      </w:r>
      <w:r>
        <w:t>논리</w:t>
      </w:r>
    </w:p>
    <w:p w14:paraId="004380BE" w14:textId="77777777" w:rsidR="004B0D7A" w:rsidRDefault="00000000">
      <w:r>
        <w:t>Long-term value creation depends on recurring revenue, platform extensibility, evidence maturity, regulatory readiness, and strategic integration potential. QMEDIC’s architecture supports each of those drivers.</w:t>
      </w:r>
    </w:p>
    <w:p w14:paraId="38AE9BA4" w14:textId="10FE6686" w:rsidR="004B0D7A" w:rsidRDefault="004B0D7A"/>
    <w:p w14:paraId="1D95B946" w14:textId="77777777" w:rsidR="004B0D7A" w:rsidRDefault="00000000">
      <w:pPr>
        <w:pStyle w:val="ChapterTitle"/>
      </w:pPr>
      <w:r>
        <w:t>19. Conclusion</w:t>
      </w:r>
    </w:p>
    <w:p w14:paraId="13F17A5D" w14:textId="77777777" w:rsidR="004B0D7A" w:rsidRDefault="00000000">
      <w:pPr>
        <w:pStyle w:val="SectionTitle"/>
      </w:pPr>
      <w:r>
        <w:t>19.1 SQK QMEDIC</w:t>
      </w:r>
      <w:r>
        <w:t>의</w:t>
      </w:r>
      <w:r>
        <w:t xml:space="preserve"> </w:t>
      </w:r>
      <w:r>
        <w:t>투자</w:t>
      </w:r>
      <w:r>
        <w:t xml:space="preserve"> </w:t>
      </w:r>
      <w:r>
        <w:t>가치</w:t>
      </w:r>
      <w:r>
        <w:t xml:space="preserve"> </w:t>
      </w:r>
      <w:r>
        <w:t>요약</w:t>
      </w:r>
    </w:p>
    <w:p w14:paraId="31F003A6" w14:textId="77777777" w:rsidR="004B0D7A" w:rsidRDefault="00000000">
      <w:r>
        <w:t>QMEDIC is a reliability-centered medical imaging platform with a credible path from research-use commercialization to broader healthcare deployment. It is differentiated by the combination of image quality improvement, quality governance, platform architecture, and ecosystem strategy.</w:t>
      </w:r>
    </w:p>
    <w:p w14:paraId="5FC8C42E" w14:textId="77777777" w:rsidR="004B0D7A" w:rsidRDefault="00000000">
      <w:pPr>
        <w:pStyle w:val="SectionTitle"/>
        <w:rPr>
          <w:lang w:eastAsia="ko-KR"/>
        </w:rPr>
      </w:pPr>
      <w:r>
        <w:rPr>
          <w:lang w:eastAsia="ko-KR"/>
        </w:rPr>
        <w:t xml:space="preserve">19.2 </w:t>
      </w:r>
      <w:r>
        <w:rPr>
          <w:lang w:eastAsia="ko-KR"/>
        </w:rPr>
        <w:t>시장</w:t>
      </w:r>
      <w:r>
        <w:rPr>
          <w:lang w:eastAsia="ko-KR"/>
        </w:rPr>
        <w:t>·</w:t>
      </w:r>
      <w:r>
        <w:rPr>
          <w:lang w:eastAsia="ko-KR"/>
        </w:rPr>
        <w:t>기술</w:t>
      </w:r>
      <w:r>
        <w:rPr>
          <w:lang w:eastAsia="ko-KR"/>
        </w:rPr>
        <w:t>·</w:t>
      </w:r>
      <w:r>
        <w:rPr>
          <w:lang w:eastAsia="ko-KR"/>
        </w:rPr>
        <w:t>사업화</w:t>
      </w:r>
      <w:r>
        <w:rPr>
          <w:lang w:eastAsia="ko-KR"/>
        </w:rPr>
        <w:t xml:space="preserve"> </w:t>
      </w:r>
      <w:r>
        <w:rPr>
          <w:lang w:eastAsia="ko-KR"/>
        </w:rPr>
        <w:t>종합</w:t>
      </w:r>
      <w:r>
        <w:rPr>
          <w:lang w:eastAsia="ko-KR"/>
        </w:rPr>
        <w:t xml:space="preserve"> </w:t>
      </w:r>
      <w:r>
        <w:rPr>
          <w:lang w:eastAsia="ko-KR"/>
        </w:rPr>
        <w:t>판단</w:t>
      </w:r>
    </w:p>
    <w:p w14:paraId="341B007D" w14:textId="77777777" w:rsidR="004B0D7A" w:rsidRDefault="00000000">
      <w:r>
        <w:t>The product is attractive because the market need is real, the technical wedge is defensible, and the commercialization sequence is practical. The platform can create value before full regulatory deployment while simultaneously preparing for that future.</w:t>
      </w:r>
    </w:p>
    <w:p w14:paraId="0AEE84D8" w14:textId="77777777" w:rsidR="004B0D7A" w:rsidRDefault="00000000">
      <w:pPr>
        <w:pStyle w:val="SectionTitle"/>
      </w:pPr>
      <w:r>
        <w:t xml:space="preserve">19.3 </w:t>
      </w:r>
      <w:r>
        <w:t>향후</w:t>
      </w:r>
      <w:r>
        <w:t xml:space="preserve"> </w:t>
      </w:r>
      <w:r>
        <w:t>성장</w:t>
      </w:r>
      <w:r>
        <w:t xml:space="preserve"> </w:t>
      </w:r>
      <w:r>
        <w:t>비전</w:t>
      </w:r>
    </w:p>
    <w:p w14:paraId="7B6B063E" w14:textId="77777777" w:rsidR="004B0D7A" w:rsidRDefault="00000000">
      <w:r>
        <w:t>SQK’s long-term vision is to make QMEDIC more than a software module. The aspiration is to establish it as an AI-native imaging infrastructure layer that supports reliability, evidence, and deployability across healthcare and adjacent imaging domains.</w:t>
      </w:r>
    </w:p>
    <w:p w14:paraId="53DB6611" w14:textId="77777777" w:rsidR="004B0D7A" w:rsidRDefault="00000000">
      <w:r>
        <w:br w:type="page"/>
      </w:r>
    </w:p>
    <w:p w14:paraId="22E78999" w14:textId="77777777" w:rsidR="004B0D7A" w:rsidRDefault="00000000">
      <w:pPr>
        <w:pStyle w:val="ChapterTitle"/>
      </w:pPr>
      <w:r>
        <w:lastRenderedPageBreak/>
        <w:t>Appendix A. Technical Terms and Definitions</w:t>
      </w:r>
    </w:p>
    <w:tbl>
      <w:tblPr>
        <w:tblStyle w:val="af9"/>
        <w:tblW w:w="0" w:type="auto"/>
        <w:jc w:val="center"/>
        <w:tblLook w:val="04A0" w:firstRow="1" w:lastRow="0" w:firstColumn="1" w:lastColumn="0" w:noHBand="0" w:noVBand="1"/>
      </w:tblPr>
      <w:tblGrid>
        <w:gridCol w:w="4827"/>
        <w:gridCol w:w="4831"/>
      </w:tblGrid>
      <w:tr w:rsidR="004B0D7A" w14:paraId="5C7BDA13" w14:textId="77777777">
        <w:trPr>
          <w:jc w:val="center"/>
        </w:trPr>
        <w:tc>
          <w:tcPr>
            <w:tcW w:w="4896" w:type="dxa"/>
            <w:shd w:val="clear" w:color="auto" w:fill="EAF1FB"/>
            <w:tcMar>
              <w:top w:w="90" w:type="dxa"/>
              <w:left w:w="100" w:type="dxa"/>
              <w:bottom w:w="90" w:type="dxa"/>
              <w:right w:w="100" w:type="dxa"/>
            </w:tcMar>
          </w:tcPr>
          <w:p w14:paraId="279669E2" w14:textId="77777777" w:rsidR="004B0D7A" w:rsidRDefault="00000000">
            <w:r>
              <w:rPr>
                <w:b/>
                <w:color w:val="172C58"/>
              </w:rPr>
              <w:t>Item</w:t>
            </w:r>
          </w:p>
        </w:tc>
        <w:tc>
          <w:tcPr>
            <w:tcW w:w="4896" w:type="dxa"/>
            <w:shd w:val="clear" w:color="auto" w:fill="EAF1FB"/>
            <w:tcMar>
              <w:top w:w="90" w:type="dxa"/>
              <w:left w:w="100" w:type="dxa"/>
              <w:bottom w:w="90" w:type="dxa"/>
              <w:right w:w="100" w:type="dxa"/>
            </w:tcMar>
          </w:tcPr>
          <w:p w14:paraId="5068B886" w14:textId="77777777" w:rsidR="004B0D7A" w:rsidRDefault="00000000">
            <w:r>
              <w:rPr>
                <w:b/>
                <w:color w:val="172C58"/>
              </w:rPr>
              <w:t>Description</w:t>
            </w:r>
          </w:p>
        </w:tc>
      </w:tr>
      <w:tr w:rsidR="004B0D7A" w14:paraId="101CC920" w14:textId="77777777">
        <w:trPr>
          <w:jc w:val="center"/>
        </w:trPr>
        <w:tc>
          <w:tcPr>
            <w:tcW w:w="4896" w:type="dxa"/>
            <w:tcMar>
              <w:top w:w="90" w:type="dxa"/>
              <w:left w:w="100" w:type="dxa"/>
              <w:bottom w:w="90" w:type="dxa"/>
              <w:right w:w="100" w:type="dxa"/>
            </w:tcMar>
            <w:vAlign w:val="center"/>
          </w:tcPr>
          <w:p w14:paraId="1669EC3D" w14:textId="77777777" w:rsidR="004B0D7A" w:rsidRDefault="00000000">
            <w:r>
              <w:rPr>
                <w:b/>
                <w:color w:val="4169B9"/>
              </w:rPr>
              <w:t>Physics-Constrained Reconstruction</w:t>
            </w:r>
          </w:p>
        </w:tc>
        <w:tc>
          <w:tcPr>
            <w:tcW w:w="4896" w:type="dxa"/>
            <w:tcMar>
              <w:top w:w="90" w:type="dxa"/>
              <w:left w:w="100" w:type="dxa"/>
              <w:bottom w:w="90" w:type="dxa"/>
              <w:right w:w="100" w:type="dxa"/>
            </w:tcMar>
            <w:vAlign w:val="center"/>
          </w:tcPr>
          <w:p w14:paraId="789891C2" w14:textId="77777777" w:rsidR="004B0D7A" w:rsidRDefault="00000000">
            <w:r>
              <w:t>A reconstruction approach that explicitly respects source-data relationships and modality-specific physical constraints.</w:t>
            </w:r>
          </w:p>
        </w:tc>
      </w:tr>
      <w:tr w:rsidR="004B0D7A" w14:paraId="4EBCCD70" w14:textId="77777777">
        <w:trPr>
          <w:jc w:val="center"/>
        </w:trPr>
        <w:tc>
          <w:tcPr>
            <w:tcW w:w="4896" w:type="dxa"/>
            <w:tcMar>
              <w:top w:w="90" w:type="dxa"/>
              <w:left w:w="100" w:type="dxa"/>
              <w:bottom w:w="90" w:type="dxa"/>
              <w:right w:w="100" w:type="dxa"/>
            </w:tcMar>
            <w:vAlign w:val="center"/>
          </w:tcPr>
          <w:p w14:paraId="3B5C77AA" w14:textId="77777777" w:rsidR="004B0D7A" w:rsidRDefault="00000000">
            <w:r>
              <w:rPr>
                <w:b/>
                <w:color w:val="4169B9"/>
              </w:rPr>
              <w:t>Refinement</w:t>
            </w:r>
          </w:p>
        </w:tc>
        <w:tc>
          <w:tcPr>
            <w:tcW w:w="4896" w:type="dxa"/>
            <w:tcMar>
              <w:top w:w="90" w:type="dxa"/>
              <w:left w:w="100" w:type="dxa"/>
              <w:bottom w:w="90" w:type="dxa"/>
              <w:right w:w="100" w:type="dxa"/>
            </w:tcMar>
            <w:vAlign w:val="center"/>
          </w:tcPr>
          <w:p w14:paraId="65678095" w14:textId="77777777" w:rsidR="004B0D7A" w:rsidRDefault="00000000">
            <w:r>
              <w:t>The post-reconstruction step used to improve image quality while preserving clinically meaningful information.</w:t>
            </w:r>
          </w:p>
        </w:tc>
      </w:tr>
      <w:tr w:rsidR="004B0D7A" w14:paraId="3461F69B" w14:textId="77777777">
        <w:trPr>
          <w:jc w:val="center"/>
        </w:trPr>
        <w:tc>
          <w:tcPr>
            <w:tcW w:w="4896" w:type="dxa"/>
            <w:tcMar>
              <w:top w:w="90" w:type="dxa"/>
              <w:left w:w="100" w:type="dxa"/>
              <w:bottom w:w="90" w:type="dxa"/>
              <w:right w:w="100" w:type="dxa"/>
            </w:tcMar>
            <w:vAlign w:val="center"/>
          </w:tcPr>
          <w:p w14:paraId="3C221E73" w14:textId="77777777" w:rsidR="004B0D7A" w:rsidRDefault="00000000">
            <w:r>
              <w:rPr>
                <w:b/>
                <w:color w:val="4169B9"/>
              </w:rPr>
              <w:t>Hallucination Suppression</w:t>
            </w:r>
          </w:p>
        </w:tc>
        <w:tc>
          <w:tcPr>
            <w:tcW w:w="4896" w:type="dxa"/>
            <w:tcMar>
              <w:top w:w="90" w:type="dxa"/>
              <w:left w:w="100" w:type="dxa"/>
              <w:bottom w:w="90" w:type="dxa"/>
              <w:right w:w="100" w:type="dxa"/>
            </w:tcMar>
            <w:vAlign w:val="center"/>
          </w:tcPr>
          <w:p w14:paraId="03F6F6AD" w14:textId="77777777" w:rsidR="004B0D7A" w:rsidRDefault="00000000">
            <w:r>
              <w:t>A set of methods used to reduce the risk that the system invents or distorts structures in medically significant ways.</w:t>
            </w:r>
          </w:p>
        </w:tc>
      </w:tr>
      <w:tr w:rsidR="004B0D7A" w14:paraId="197CC657" w14:textId="77777777">
        <w:trPr>
          <w:jc w:val="center"/>
        </w:trPr>
        <w:tc>
          <w:tcPr>
            <w:tcW w:w="4896" w:type="dxa"/>
            <w:tcMar>
              <w:top w:w="90" w:type="dxa"/>
              <w:left w:w="100" w:type="dxa"/>
              <w:bottom w:w="90" w:type="dxa"/>
              <w:right w:w="100" w:type="dxa"/>
            </w:tcMar>
            <w:vAlign w:val="center"/>
          </w:tcPr>
          <w:p w14:paraId="2D3E7525" w14:textId="77777777" w:rsidR="004B0D7A" w:rsidRDefault="00000000">
            <w:r>
              <w:rPr>
                <w:b/>
                <w:color w:val="4169B9"/>
              </w:rPr>
              <w:t>Consistency Check</w:t>
            </w:r>
          </w:p>
        </w:tc>
        <w:tc>
          <w:tcPr>
            <w:tcW w:w="4896" w:type="dxa"/>
            <w:tcMar>
              <w:top w:w="90" w:type="dxa"/>
              <w:left w:w="100" w:type="dxa"/>
              <w:bottom w:w="90" w:type="dxa"/>
              <w:right w:w="100" w:type="dxa"/>
            </w:tcMar>
            <w:vAlign w:val="center"/>
          </w:tcPr>
          <w:p w14:paraId="5020E84E" w14:textId="77777777" w:rsidR="004B0D7A" w:rsidRDefault="00000000">
            <w:r>
              <w:t>An internal process that evaluates whether outputs remain aligned with available source information or expected reconstruction logic.</w:t>
            </w:r>
          </w:p>
        </w:tc>
      </w:tr>
      <w:tr w:rsidR="004B0D7A" w14:paraId="27CDFE72" w14:textId="77777777">
        <w:trPr>
          <w:jc w:val="center"/>
        </w:trPr>
        <w:tc>
          <w:tcPr>
            <w:tcW w:w="4896" w:type="dxa"/>
            <w:tcMar>
              <w:top w:w="90" w:type="dxa"/>
              <w:left w:w="100" w:type="dxa"/>
              <w:bottom w:w="90" w:type="dxa"/>
              <w:right w:w="100" w:type="dxa"/>
            </w:tcMar>
            <w:vAlign w:val="center"/>
          </w:tcPr>
          <w:p w14:paraId="62D1AE74" w14:textId="77777777" w:rsidR="004B0D7A" w:rsidRDefault="00000000">
            <w:r>
              <w:rPr>
                <w:b/>
                <w:color w:val="4169B9"/>
              </w:rPr>
              <w:t>Confidence Score</w:t>
            </w:r>
          </w:p>
        </w:tc>
        <w:tc>
          <w:tcPr>
            <w:tcW w:w="4896" w:type="dxa"/>
            <w:tcMar>
              <w:top w:w="90" w:type="dxa"/>
              <w:left w:w="100" w:type="dxa"/>
              <w:bottom w:w="90" w:type="dxa"/>
              <w:right w:w="100" w:type="dxa"/>
            </w:tcMar>
            <w:vAlign w:val="center"/>
          </w:tcPr>
          <w:p w14:paraId="211E707C" w14:textId="77777777" w:rsidR="004B0D7A" w:rsidRDefault="00000000">
            <w:r>
              <w:t>A quality-oriented signal estimating output stability or trustworthiness within the platform’s processing framework.</w:t>
            </w:r>
          </w:p>
        </w:tc>
      </w:tr>
      <w:tr w:rsidR="004B0D7A" w14:paraId="2A5A863D" w14:textId="77777777">
        <w:trPr>
          <w:jc w:val="center"/>
        </w:trPr>
        <w:tc>
          <w:tcPr>
            <w:tcW w:w="4896" w:type="dxa"/>
            <w:tcMar>
              <w:top w:w="90" w:type="dxa"/>
              <w:left w:w="100" w:type="dxa"/>
              <w:bottom w:w="90" w:type="dxa"/>
              <w:right w:w="100" w:type="dxa"/>
            </w:tcMar>
            <w:vAlign w:val="center"/>
          </w:tcPr>
          <w:p w14:paraId="24A71423" w14:textId="77777777" w:rsidR="004B0D7A" w:rsidRDefault="00000000">
            <w:r>
              <w:rPr>
                <w:b/>
                <w:color w:val="4169B9"/>
              </w:rPr>
              <w:t>Co-pilot</w:t>
            </w:r>
          </w:p>
        </w:tc>
        <w:tc>
          <w:tcPr>
            <w:tcW w:w="4896" w:type="dxa"/>
            <w:tcMar>
              <w:top w:w="90" w:type="dxa"/>
              <w:left w:w="100" w:type="dxa"/>
              <w:bottom w:w="90" w:type="dxa"/>
              <w:right w:w="100" w:type="dxa"/>
            </w:tcMar>
            <w:vAlign w:val="center"/>
          </w:tcPr>
          <w:p w14:paraId="38BC4973" w14:textId="77777777" w:rsidR="004B0D7A" w:rsidRDefault="00000000">
            <w:r>
              <w:t>The assistance layer that supports recommendation, explanation, QC interpretation, and workflow documentation.</w:t>
            </w:r>
          </w:p>
        </w:tc>
      </w:tr>
      <w:tr w:rsidR="004B0D7A" w14:paraId="49E2799C" w14:textId="77777777">
        <w:trPr>
          <w:jc w:val="center"/>
        </w:trPr>
        <w:tc>
          <w:tcPr>
            <w:tcW w:w="4896" w:type="dxa"/>
            <w:tcMar>
              <w:top w:w="90" w:type="dxa"/>
              <w:left w:w="100" w:type="dxa"/>
              <w:bottom w:w="90" w:type="dxa"/>
              <w:right w:w="100" w:type="dxa"/>
            </w:tcMar>
            <w:vAlign w:val="center"/>
          </w:tcPr>
          <w:p w14:paraId="6DDC943F" w14:textId="77777777" w:rsidR="004B0D7A" w:rsidRDefault="00000000">
            <w:r>
              <w:rPr>
                <w:b/>
                <w:color w:val="4169B9"/>
              </w:rPr>
              <w:t>QUKKOS</w:t>
            </w:r>
          </w:p>
        </w:tc>
        <w:tc>
          <w:tcPr>
            <w:tcW w:w="4896" w:type="dxa"/>
            <w:tcMar>
              <w:top w:w="90" w:type="dxa"/>
              <w:left w:w="100" w:type="dxa"/>
              <w:bottom w:w="90" w:type="dxa"/>
              <w:right w:w="100" w:type="dxa"/>
            </w:tcMar>
            <w:vAlign w:val="center"/>
          </w:tcPr>
          <w:p w14:paraId="423016AB" w14:textId="77777777" w:rsidR="004B0D7A" w:rsidRDefault="00000000">
            <w:r>
              <w:t>SQK’s orchestration concept for quantum-classical workload routing.</w:t>
            </w:r>
          </w:p>
        </w:tc>
      </w:tr>
      <w:tr w:rsidR="004B0D7A" w14:paraId="65A2A7DD" w14:textId="77777777">
        <w:trPr>
          <w:jc w:val="center"/>
        </w:trPr>
        <w:tc>
          <w:tcPr>
            <w:tcW w:w="4896" w:type="dxa"/>
            <w:tcMar>
              <w:top w:w="90" w:type="dxa"/>
              <w:left w:w="100" w:type="dxa"/>
              <w:bottom w:w="90" w:type="dxa"/>
              <w:right w:w="100" w:type="dxa"/>
            </w:tcMar>
            <w:vAlign w:val="center"/>
          </w:tcPr>
          <w:p w14:paraId="10602732" w14:textId="77777777" w:rsidR="004B0D7A" w:rsidRDefault="00000000">
            <w:r>
              <w:rPr>
                <w:b/>
                <w:color w:val="4169B9"/>
              </w:rPr>
              <w:t>QTAU</w:t>
            </w:r>
          </w:p>
        </w:tc>
        <w:tc>
          <w:tcPr>
            <w:tcW w:w="4896" w:type="dxa"/>
            <w:tcMar>
              <w:top w:w="90" w:type="dxa"/>
              <w:left w:w="100" w:type="dxa"/>
              <w:bottom w:w="90" w:type="dxa"/>
              <w:right w:w="100" w:type="dxa"/>
            </w:tcMar>
            <w:vAlign w:val="center"/>
          </w:tcPr>
          <w:p w14:paraId="53CC749E" w14:textId="77777777" w:rsidR="004B0D7A" w:rsidRDefault="00000000">
            <w:r>
              <w:t>SQK’s benchmarking and analysis framework intended to support evidence-oriented evaluation.</w:t>
            </w:r>
          </w:p>
        </w:tc>
      </w:tr>
    </w:tbl>
    <w:p w14:paraId="2C0EBAA7" w14:textId="77777777" w:rsidR="004B0D7A" w:rsidRDefault="004B0D7A"/>
    <w:p w14:paraId="4C1B6BB0" w14:textId="77777777" w:rsidR="004B0D7A" w:rsidRDefault="00000000">
      <w:r>
        <w:br w:type="page"/>
      </w:r>
    </w:p>
    <w:p w14:paraId="52FF22AB" w14:textId="77777777" w:rsidR="004B0D7A" w:rsidRDefault="00000000">
      <w:pPr>
        <w:pStyle w:val="ChapterTitle"/>
      </w:pPr>
      <w:r>
        <w:lastRenderedPageBreak/>
        <w:t>Appendix B. Metric Framework</w:t>
      </w:r>
    </w:p>
    <w:tbl>
      <w:tblPr>
        <w:tblStyle w:val="af9"/>
        <w:tblW w:w="0" w:type="auto"/>
        <w:jc w:val="center"/>
        <w:tblLook w:val="04A0" w:firstRow="1" w:lastRow="0" w:firstColumn="1" w:lastColumn="0" w:noHBand="0" w:noVBand="1"/>
      </w:tblPr>
      <w:tblGrid>
        <w:gridCol w:w="4823"/>
        <w:gridCol w:w="4835"/>
      </w:tblGrid>
      <w:tr w:rsidR="004B0D7A" w14:paraId="33E28A41" w14:textId="77777777">
        <w:trPr>
          <w:jc w:val="center"/>
        </w:trPr>
        <w:tc>
          <w:tcPr>
            <w:tcW w:w="4896" w:type="dxa"/>
            <w:shd w:val="clear" w:color="auto" w:fill="EAF1FB"/>
            <w:tcMar>
              <w:top w:w="90" w:type="dxa"/>
              <w:left w:w="100" w:type="dxa"/>
              <w:bottom w:w="90" w:type="dxa"/>
              <w:right w:w="100" w:type="dxa"/>
            </w:tcMar>
          </w:tcPr>
          <w:p w14:paraId="20E1CAE5" w14:textId="77777777" w:rsidR="004B0D7A" w:rsidRDefault="00000000">
            <w:r>
              <w:rPr>
                <w:b/>
                <w:color w:val="172C58"/>
              </w:rPr>
              <w:t>Item</w:t>
            </w:r>
          </w:p>
        </w:tc>
        <w:tc>
          <w:tcPr>
            <w:tcW w:w="4896" w:type="dxa"/>
            <w:shd w:val="clear" w:color="auto" w:fill="EAF1FB"/>
            <w:tcMar>
              <w:top w:w="90" w:type="dxa"/>
              <w:left w:w="100" w:type="dxa"/>
              <w:bottom w:w="90" w:type="dxa"/>
              <w:right w:w="100" w:type="dxa"/>
            </w:tcMar>
          </w:tcPr>
          <w:p w14:paraId="113185B1" w14:textId="77777777" w:rsidR="004B0D7A" w:rsidRDefault="00000000">
            <w:r>
              <w:rPr>
                <w:b/>
                <w:color w:val="172C58"/>
              </w:rPr>
              <w:t>Description</w:t>
            </w:r>
          </w:p>
        </w:tc>
      </w:tr>
      <w:tr w:rsidR="004B0D7A" w14:paraId="74F43811" w14:textId="77777777">
        <w:trPr>
          <w:jc w:val="center"/>
        </w:trPr>
        <w:tc>
          <w:tcPr>
            <w:tcW w:w="4896" w:type="dxa"/>
            <w:tcMar>
              <w:top w:w="90" w:type="dxa"/>
              <w:left w:w="100" w:type="dxa"/>
              <w:bottom w:w="90" w:type="dxa"/>
              <w:right w:w="100" w:type="dxa"/>
            </w:tcMar>
            <w:vAlign w:val="center"/>
          </w:tcPr>
          <w:p w14:paraId="14DEA6E0" w14:textId="77777777" w:rsidR="004B0D7A" w:rsidRDefault="00000000">
            <w:r>
              <w:rPr>
                <w:b/>
                <w:color w:val="4169B9"/>
              </w:rPr>
              <w:t>Image metrics</w:t>
            </w:r>
          </w:p>
        </w:tc>
        <w:tc>
          <w:tcPr>
            <w:tcW w:w="4896" w:type="dxa"/>
            <w:tcMar>
              <w:top w:w="90" w:type="dxa"/>
              <w:left w:w="100" w:type="dxa"/>
              <w:bottom w:w="90" w:type="dxa"/>
              <w:right w:w="100" w:type="dxa"/>
            </w:tcMar>
            <w:vAlign w:val="center"/>
          </w:tcPr>
          <w:p w14:paraId="3CB488E3" w14:textId="77777777" w:rsidR="004B0D7A" w:rsidRDefault="00000000">
            <w:r>
              <w:t>PSNR, SSIM, RMSE, and related quality scores remain useful but should not be used alone as proof of clinical value.</w:t>
            </w:r>
          </w:p>
        </w:tc>
      </w:tr>
      <w:tr w:rsidR="004B0D7A" w14:paraId="1D86049A" w14:textId="77777777">
        <w:trPr>
          <w:jc w:val="center"/>
        </w:trPr>
        <w:tc>
          <w:tcPr>
            <w:tcW w:w="4896" w:type="dxa"/>
            <w:tcMar>
              <w:top w:w="90" w:type="dxa"/>
              <w:left w:w="100" w:type="dxa"/>
              <w:bottom w:w="90" w:type="dxa"/>
              <w:right w:w="100" w:type="dxa"/>
            </w:tcMar>
            <w:vAlign w:val="center"/>
          </w:tcPr>
          <w:p w14:paraId="5817C894" w14:textId="77777777" w:rsidR="004B0D7A" w:rsidRDefault="00000000">
            <w:r>
              <w:rPr>
                <w:b/>
                <w:color w:val="4169B9"/>
              </w:rPr>
              <w:t>Task metrics</w:t>
            </w:r>
          </w:p>
        </w:tc>
        <w:tc>
          <w:tcPr>
            <w:tcW w:w="4896" w:type="dxa"/>
            <w:tcMar>
              <w:top w:w="90" w:type="dxa"/>
              <w:left w:w="100" w:type="dxa"/>
              <w:bottom w:w="90" w:type="dxa"/>
              <w:right w:w="100" w:type="dxa"/>
            </w:tcMar>
            <w:vAlign w:val="center"/>
          </w:tcPr>
          <w:p w14:paraId="2376BEE4" w14:textId="77777777" w:rsidR="004B0D7A" w:rsidRDefault="00000000">
            <w:r>
              <w:t>Reader preference, task success, lesion-visibility scoring, or use-case-specific measures can better reflect actual value.</w:t>
            </w:r>
          </w:p>
        </w:tc>
      </w:tr>
      <w:tr w:rsidR="004B0D7A" w14:paraId="65ECA884" w14:textId="77777777">
        <w:trPr>
          <w:jc w:val="center"/>
        </w:trPr>
        <w:tc>
          <w:tcPr>
            <w:tcW w:w="4896" w:type="dxa"/>
            <w:tcMar>
              <w:top w:w="90" w:type="dxa"/>
              <w:left w:w="100" w:type="dxa"/>
              <w:bottom w:w="90" w:type="dxa"/>
              <w:right w:w="100" w:type="dxa"/>
            </w:tcMar>
            <w:vAlign w:val="center"/>
          </w:tcPr>
          <w:p w14:paraId="396B3E45" w14:textId="77777777" w:rsidR="004B0D7A" w:rsidRDefault="00000000">
            <w:r>
              <w:rPr>
                <w:b/>
                <w:color w:val="4169B9"/>
              </w:rPr>
              <w:t>Operational metrics</w:t>
            </w:r>
          </w:p>
        </w:tc>
        <w:tc>
          <w:tcPr>
            <w:tcW w:w="4896" w:type="dxa"/>
            <w:tcMar>
              <w:top w:w="90" w:type="dxa"/>
              <w:left w:w="100" w:type="dxa"/>
              <w:bottom w:w="90" w:type="dxa"/>
              <w:right w:w="100" w:type="dxa"/>
            </w:tcMar>
            <w:vAlign w:val="center"/>
          </w:tcPr>
          <w:p w14:paraId="6240AAFD" w14:textId="77777777" w:rsidR="004B0D7A" w:rsidRDefault="00000000">
            <w:r>
              <w:t>Latency, throughput, repeatability, and QC-report usage are important for SaaS commercialization.</w:t>
            </w:r>
          </w:p>
        </w:tc>
      </w:tr>
      <w:tr w:rsidR="004B0D7A" w14:paraId="53DB366F" w14:textId="77777777">
        <w:trPr>
          <w:jc w:val="center"/>
        </w:trPr>
        <w:tc>
          <w:tcPr>
            <w:tcW w:w="4896" w:type="dxa"/>
            <w:tcMar>
              <w:top w:w="90" w:type="dxa"/>
              <w:left w:w="100" w:type="dxa"/>
              <w:bottom w:w="90" w:type="dxa"/>
              <w:right w:w="100" w:type="dxa"/>
            </w:tcMar>
            <w:vAlign w:val="center"/>
          </w:tcPr>
          <w:p w14:paraId="4309AC6A" w14:textId="77777777" w:rsidR="004B0D7A" w:rsidRDefault="00000000">
            <w:r>
              <w:rPr>
                <w:b/>
                <w:color w:val="4169B9"/>
              </w:rPr>
              <w:t>Reliability metrics</w:t>
            </w:r>
          </w:p>
        </w:tc>
        <w:tc>
          <w:tcPr>
            <w:tcW w:w="4896" w:type="dxa"/>
            <w:tcMar>
              <w:top w:w="90" w:type="dxa"/>
              <w:left w:w="100" w:type="dxa"/>
              <w:bottom w:w="90" w:type="dxa"/>
              <w:right w:w="100" w:type="dxa"/>
            </w:tcMar>
            <w:vAlign w:val="center"/>
          </w:tcPr>
          <w:p w14:paraId="65283DE4" w14:textId="77777777" w:rsidR="004B0D7A" w:rsidRDefault="00000000">
            <w:r>
              <w:t>Consistency score, confidence outputs, artifact flags, residual awareness, and auditability indicators strengthen trust.</w:t>
            </w:r>
          </w:p>
        </w:tc>
      </w:tr>
    </w:tbl>
    <w:p w14:paraId="4D660C58" w14:textId="4BD8DD29" w:rsidR="004B0D7A" w:rsidRDefault="004B0D7A"/>
    <w:p w14:paraId="5EF45FA9" w14:textId="77777777" w:rsidR="004B0D7A" w:rsidRDefault="00000000">
      <w:pPr>
        <w:pStyle w:val="ChapterTitle"/>
      </w:pPr>
      <w:r>
        <w:t>Appendix C. Regulatory and Readiness Notes</w:t>
      </w:r>
    </w:p>
    <w:tbl>
      <w:tblPr>
        <w:tblStyle w:val="af9"/>
        <w:tblW w:w="0" w:type="auto"/>
        <w:jc w:val="center"/>
        <w:tblLook w:val="04A0" w:firstRow="1" w:lastRow="0" w:firstColumn="1" w:lastColumn="0" w:noHBand="0" w:noVBand="1"/>
      </w:tblPr>
      <w:tblGrid>
        <w:gridCol w:w="4826"/>
        <w:gridCol w:w="4832"/>
      </w:tblGrid>
      <w:tr w:rsidR="004B0D7A" w14:paraId="2FA84005" w14:textId="77777777">
        <w:trPr>
          <w:jc w:val="center"/>
        </w:trPr>
        <w:tc>
          <w:tcPr>
            <w:tcW w:w="4896" w:type="dxa"/>
            <w:shd w:val="clear" w:color="auto" w:fill="EAF1FB"/>
            <w:tcMar>
              <w:top w:w="90" w:type="dxa"/>
              <w:left w:w="100" w:type="dxa"/>
              <w:bottom w:w="90" w:type="dxa"/>
              <w:right w:w="100" w:type="dxa"/>
            </w:tcMar>
          </w:tcPr>
          <w:p w14:paraId="6006D279" w14:textId="77777777" w:rsidR="004B0D7A" w:rsidRDefault="00000000">
            <w:r>
              <w:rPr>
                <w:b/>
                <w:color w:val="172C58"/>
              </w:rPr>
              <w:t>Item</w:t>
            </w:r>
          </w:p>
        </w:tc>
        <w:tc>
          <w:tcPr>
            <w:tcW w:w="4896" w:type="dxa"/>
            <w:shd w:val="clear" w:color="auto" w:fill="EAF1FB"/>
            <w:tcMar>
              <w:top w:w="90" w:type="dxa"/>
              <w:left w:w="100" w:type="dxa"/>
              <w:bottom w:w="90" w:type="dxa"/>
              <w:right w:w="100" w:type="dxa"/>
            </w:tcMar>
          </w:tcPr>
          <w:p w14:paraId="00C5645F" w14:textId="77777777" w:rsidR="004B0D7A" w:rsidRDefault="00000000">
            <w:r>
              <w:rPr>
                <w:b/>
                <w:color w:val="172C58"/>
              </w:rPr>
              <w:t>Description</w:t>
            </w:r>
          </w:p>
        </w:tc>
      </w:tr>
      <w:tr w:rsidR="004B0D7A" w14:paraId="7207D8E7" w14:textId="77777777">
        <w:trPr>
          <w:jc w:val="center"/>
        </w:trPr>
        <w:tc>
          <w:tcPr>
            <w:tcW w:w="4896" w:type="dxa"/>
            <w:tcMar>
              <w:top w:w="90" w:type="dxa"/>
              <w:left w:w="100" w:type="dxa"/>
              <w:bottom w:w="90" w:type="dxa"/>
              <w:right w:w="100" w:type="dxa"/>
            </w:tcMar>
            <w:vAlign w:val="center"/>
          </w:tcPr>
          <w:p w14:paraId="64ACB96F" w14:textId="77777777" w:rsidR="004B0D7A" w:rsidRDefault="00000000">
            <w:r>
              <w:rPr>
                <w:b/>
                <w:color w:val="4169B9"/>
              </w:rPr>
              <w:t>FDA</w:t>
            </w:r>
          </w:p>
        </w:tc>
        <w:tc>
          <w:tcPr>
            <w:tcW w:w="4896" w:type="dxa"/>
            <w:tcMar>
              <w:top w:w="90" w:type="dxa"/>
              <w:left w:w="100" w:type="dxa"/>
              <w:bottom w:w="90" w:type="dxa"/>
              <w:right w:w="100" w:type="dxa"/>
            </w:tcMar>
            <w:vAlign w:val="center"/>
          </w:tcPr>
          <w:p w14:paraId="5152D6D0" w14:textId="77777777" w:rsidR="004B0D7A" w:rsidRDefault="00000000">
            <w:r>
              <w:t>The future FDA path will depend on intended use, claims, software function, evidence scope, and product classification strategy.</w:t>
            </w:r>
          </w:p>
        </w:tc>
      </w:tr>
      <w:tr w:rsidR="004B0D7A" w14:paraId="35724EAD" w14:textId="77777777">
        <w:trPr>
          <w:jc w:val="center"/>
        </w:trPr>
        <w:tc>
          <w:tcPr>
            <w:tcW w:w="4896" w:type="dxa"/>
            <w:tcMar>
              <w:top w:w="90" w:type="dxa"/>
              <w:left w:w="100" w:type="dxa"/>
              <w:bottom w:w="90" w:type="dxa"/>
              <w:right w:w="100" w:type="dxa"/>
            </w:tcMar>
            <w:vAlign w:val="center"/>
          </w:tcPr>
          <w:p w14:paraId="321912F9" w14:textId="77777777" w:rsidR="004B0D7A" w:rsidRDefault="00000000">
            <w:r>
              <w:rPr>
                <w:b/>
                <w:color w:val="4169B9"/>
              </w:rPr>
              <w:t>Health Canada</w:t>
            </w:r>
          </w:p>
        </w:tc>
        <w:tc>
          <w:tcPr>
            <w:tcW w:w="4896" w:type="dxa"/>
            <w:tcMar>
              <w:top w:w="90" w:type="dxa"/>
              <w:left w:w="100" w:type="dxa"/>
              <w:bottom w:w="90" w:type="dxa"/>
              <w:right w:w="100" w:type="dxa"/>
            </w:tcMar>
            <w:vAlign w:val="center"/>
          </w:tcPr>
          <w:p w14:paraId="06F9BA72" w14:textId="77777777" w:rsidR="004B0D7A" w:rsidRDefault="00000000">
            <w:r>
              <w:t>Canada provides a useful SaMD-oriented expansion route and a practical bridge between validation and commercialization.</w:t>
            </w:r>
          </w:p>
        </w:tc>
      </w:tr>
      <w:tr w:rsidR="004B0D7A" w14:paraId="38C01127" w14:textId="77777777">
        <w:trPr>
          <w:jc w:val="center"/>
        </w:trPr>
        <w:tc>
          <w:tcPr>
            <w:tcW w:w="4896" w:type="dxa"/>
            <w:tcMar>
              <w:top w:w="90" w:type="dxa"/>
              <w:left w:w="100" w:type="dxa"/>
              <w:bottom w:w="90" w:type="dxa"/>
              <w:right w:w="100" w:type="dxa"/>
            </w:tcMar>
            <w:vAlign w:val="center"/>
          </w:tcPr>
          <w:p w14:paraId="7D412394" w14:textId="77777777" w:rsidR="004B0D7A" w:rsidRDefault="00000000">
            <w:r>
              <w:rPr>
                <w:b/>
                <w:color w:val="4169B9"/>
              </w:rPr>
              <w:t>PMDA</w:t>
            </w:r>
          </w:p>
        </w:tc>
        <w:tc>
          <w:tcPr>
            <w:tcW w:w="4896" w:type="dxa"/>
            <w:tcMar>
              <w:top w:w="90" w:type="dxa"/>
              <w:left w:w="100" w:type="dxa"/>
              <w:bottom w:w="90" w:type="dxa"/>
              <w:right w:w="100" w:type="dxa"/>
            </w:tcMar>
            <w:vAlign w:val="center"/>
          </w:tcPr>
          <w:p w14:paraId="46FED1B6" w14:textId="77777777" w:rsidR="004B0D7A" w:rsidRDefault="00000000">
            <w:r>
              <w:t>Japan remains strategically relevant for long-term SaMD expansion, industrial partnership, and imaging-market access.</w:t>
            </w:r>
          </w:p>
        </w:tc>
      </w:tr>
      <w:tr w:rsidR="004B0D7A" w14:paraId="5EAD6FBD" w14:textId="77777777">
        <w:trPr>
          <w:jc w:val="center"/>
        </w:trPr>
        <w:tc>
          <w:tcPr>
            <w:tcW w:w="4896" w:type="dxa"/>
            <w:tcMar>
              <w:top w:w="90" w:type="dxa"/>
              <w:left w:w="100" w:type="dxa"/>
              <w:bottom w:w="90" w:type="dxa"/>
              <w:right w:w="100" w:type="dxa"/>
            </w:tcMar>
            <w:vAlign w:val="center"/>
          </w:tcPr>
          <w:p w14:paraId="3B5EDD6F" w14:textId="77777777" w:rsidR="004B0D7A" w:rsidRDefault="00000000">
            <w:r>
              <w:rPr>
                <w:b/>
                <w:color w:val="4169B9"/>
              </w:rPr>
              <w:t>Documentation</w:t>
            </w:r>
          </w:p>
        </w:tc>
        <w:tc>
          <w:tcPr>
            <w:tcW w:w="4896" w:type="dxa"/>
            <w:tcMar>
              <w:top w:w="90" w:type="dxa"/>
              <w:left w:w="100" w:type="dxa"/>
              <w:bottom w:w="90" w:type="dxa"/>
              <w:right w:w="100" w:type="dxa"/>
            </w:tcMar>
            <w:vAlign w:val="center"/>
          </w:tcPr>
          <w:p w14:paraId="4161C41D" w14:textId="77777777" w:rsidR="004B0D7A" w:rsidRDefault="00000000">
            <w:r>
              <w:t>Lifecycle management, software changes, traceability, cybersecurity, and documented validation are foundational regardless of region.</w:t>
            </w:r>
          </w:p>
        </w:tc>
      </w:tr>
    </w:tbl>
    <w:p w14:paraId="3EA49262" w14:textId="77777777" w:rsidR="004B0D7A" w:rsidRDefault="004B0D7A"/>
    <w:p w14:paraId="4A908295" w14:textId="77777777" w:rsidR="004B0D7A" w:rsidRDefault="00000000">
      <w:r>
        <w:br w:type="page"/>
      </w:r>
    </w:p>
    <w:p w14:paraId="24EE64D3" w14:textId="77777777" w:rsidR="004B0D7A" w:rsidRDefault="00000000">
      <w:pPr>
        <w:pStyle w:val="ChapterTitle"/>
      </w:pPr>
      <w:r>
        <w:lastRenderedPageBreak/>
        <w:t>Appendix D. IP and Defensibility Planning</w:t>
      </w:r>
    </w:p>
    <w:tbl>
      <w:tblPr>
        <w:tblStyle w:val="af9"/>
        <w:tblW w:w="0" w:type="auto"/>
        <w:jc w:val="center"/>
        <w:tblLook w:val="04A0" w:firstRow="1" w:lastRow="0" w:firstColumn="1" w:lastColumn="0" w:noHBand="0" w:noVBand="1"/>
      </w:tblPr>
      <w:tblGrid>
        <w:gridCol w:w="4824"/>
        <w:gridCol w:w="4834"/>
      </w:tblGrid>
      <w:tr w:rsidR="004B0D7A" w14:paraId="16F1DAEE" w14:textId="77777777">
        <w:trPr>
          <w:jc w:val="center"/>
        </w:trPr>
        <w:tc>
          <w:tcPr>
            <w:tcW w:w="4896" w:type="dxa"/>
            <w:shd w:val="clear" w:color="auto" w:fill="EAF1FB"/>
            <w:tcMar>
              <w:top w:w="90" w:type="dxa"/>
              <w:left w:w="100" w:type="dxa"/>
              <w:bottom w:w="90" w:type="dxa"/>
              <w:right w:w="100" w:type="dxa"/>
            </w:tcMar>
          </w:tcPr>
          <w:p w14:paraId="689EAC32" w14:textId="77777777" w:rsidR="004B0D7A" w:rsidRDefault="00000000">
            <w:r>
              <w:rPr>
                <w:b/>
                <w:color w:val="172C58"/>
              </w:rPr>
              <w:t>Item</w:t>
            </w:r>
          </w:p>
        </w:tc>
        <w:tc>
          <w:tcPr>
            <w:tcW w:w="4896" w:type="dxa"/>
            <w:shd w:val="clear" w:color="auto" w:fill="EAF1FB"/>
            <w:tcMar>
              <w:top w:w="90" w:type="dxa"/>
              <w:left w:w="100" w:type="dxa"/>
              <w:bottom w:w="90" w:type="dxa"/>
              <w:right w:w="100" w:type="dxa"/>
            </w:tcMar>
          </w:tcPr>
          <w:p w14:paraId="2A40E730" w14:textId="77777777" w:rsidR="004B0D7A" w:rsidRDefault="00000000">
            <w:r>
              <w:rPr>
                <w:b/>
                <w:color w:val="172C58"/>
              </w:rPr>
              <w:t>Description</w:t>
            </w:r>
          </w:p>
        </w:tc>
      </w:tr>
      <w:tr w:rsidR="004B0D7A" w14:paraId="6E0528FA" w14:textId="77777777">
        <w:trPr>
          <w:jc w:val="center"/>
        </w:trPr>
        <w:tc>
          <w:tcPr>
            <w:tcW w:w="4896" w:type="dxa"/>
            <w:tcMar>
              <w:top w:w="90" w:type="dxa"/>
              <w:left w:w="100" w:type="dxa"/>
              <w:bottom w:w="90" w:type="dxa"/>
              <w:right w:w="100" w:type="dxa"/>
            </w:tcMar>
            <w:vAlign w:val="center"/>
          </w:tcPr>
          <w:p w14:paraId="5768A2AB" w14:textId="77777777" w:rsidR="004B0D7A" w:rsidRDefault="00000000">
            <w:r>
              <w:rPr>
                <w:b/>
                <w:color w:val="4169B9"/>
              </w:rPr>
              <w:t>Potential IP layers</w:t>
            </w:r>
          </w:p>
        </w:tc>
        <w:tc>
          <w:tcPr>
            <w:tcW w:w="4896" w:type="dxa"/>
            <w:tcMar>
              <w:top w:w="90" w:type="dxa"/>
              <w:left w:w="100" w:type="dxa"/>
              <w:bottom w:w="90" w:type="dxa"/>
              <w:right w:w="100" w:type="dxa"/>
            </w:tcMar>
            <w:vAlign w:val="center"/>
          </w:tcPr>
          <w:p w14:paraId="64355B87" w14:textId="77777777" w:rsidR="004B0D7A" w:rsidRDefault="00000000">
            <w:r>
              <w:t>Reconstruction workflows, hybrid refinement pathways, orchestration logic, QA pipelines, Co-pilot interactions, and platform integrations may all support IP development.</w:t>
            </w:r>
          </w:p>
        </w:tc>
      </w:tr>
      <w:tr w:rsidR="004B0D7A" w14:paraId="0BE08C8C" w14:textId="77777777">
        <w:trPr>
          <w:jc w:val="center"/>
        </w:trPr>
        <w:tc>
          <w:tcPr>
            <w:tcW w:w="4896" w:type="dxa"/>
            <w:tcMar>
              <w:top w:w="90" w:type="dxa"/>
              <w:left w:w="100" w:type="dxa"/>
              <w:bottom w:w="90" w:type="dxa"/>
              <w:right w:w="100" w:type="dxa"/>
            </w:tcMar>
            <w:vAlign w:val="center"/>
          </w:tcPr>
          <w:p w14:paraId="5701DDFA" w14:textId="77777777" w:rsidR="004B0D7A" w:rsidRDefault="00000000">
            <w:r>
              <w:rPr>
                <w:b/>
                <w:color w:val="4169B9"/>
              </w:rPr>
              <w:t>Strategic use of IP</w:t>
            </w:r>
          </w:p>
        </w:tc>
        <w:tc>
          <w:tcPr>
            <w:tcW w:w="4896" w:type="dxa"/>
            <w:tcMar>
              <w:top w:w="90" w:type="dxa"/>
              <w:left w:w="100" w:type="dxa"/>
              <w:bottom w:w="90" w:type="dxa"/>
              <w:right w:w="100" w:type="dxa"/>
            </w:tcMar>
            <w:vAlign w:val="center"/>
          </w:tcPr>
          <w:p w14:paraId="7DADB408" w14:textId="77777777" w:rsidR="004B0D7A" w:rsidRDefault="00000000">
            <w:r>
              <w:t>IP is valuable not only for legal protection but also for signaling differentiation and raising competitor replication cost.</w:t>
            </w:r>
          </w:p>
        </w:tc>
      </w:tr>
    </w:tbl>
    <w:p w14:paraId="4D7131A2" w14:textId="3AC5EB52" w:rsidR="00BE3193" w:rsidRDefault="00BE3193"/>
    <w:p w14:paraId="6F36B656" w14:textId="77777777" w:rsidR="004B0D7A" w:rsidRDefault="00000000">
      <w:pPr>
        <w:pStyle w:val="ChapterTitle"/>
      </w:pPr>
      <w:r>
        <w:t>Appendix E. Partner and Ecosystem Mapping</w:t>
      </w:r>
    </w:p>
    <w:tbl>
      <w:tblPr>
        <w:tblStyle w:val="af9"/>
        <w:tblW w:w="0" w:type="auto"/>
        <w:jc w:val="center"/>
        <w:tblLook w:val="04A0" w:firstRow="1" w:lastRow="0" w:firstColumn="1" w:lastColumn="0" w:noHBand="0" w:noVBand="1"/>
      </w:tblPr>
      <w:tblGrid>
        <w:gridCol w:w="4828"/>
        <w:gridCol w:w="4830"/>
      </w:tblGrid>
      <w:tr w:rsidR="004B0D7A" w14:paraId="67733A03" w14:textId="77777777">
        <w:trPr>
          <w:jc w:val="center"/>
        </w:trPr>
        <w:tc>
          <w:tcPr>
            <w:tcW w:w="4896" w:type="dxa"/>
            <w:shd w:val="clear" w:color="auto" w:fill="EAF1FB"/>
            <w:tcMar>
              <w:top w:w="90" w:type="dxa"/>
              <w:left w:w="100" w:type="dxa"/>
              <w:bottom w:w="90" w:type="dxa"/>
              <w:right w:w="100" w:type="dxa"/>
            </w:tcMar>
          </w:tcPr>
          <w:p w14:paraId="20FDF1F0" w14:textId="77777777" w:rsidR="004B0D7A" w:rsidRDefault="00000000">
            <w:r>
              <w:rPr>
                <w:b/>
                <w:color w:val="172C58"/>
              </w:rPr>
              <w:t>Item</w:t>
            </w:r>
          </w:p>
        </w:tc>
        <w:tc>
          <w:tcPr>
            <w:tcW w:w="4896" w:type="dxa"/>
            <w:shd w:val="clear" w:color="auto" w:fill="EAF1FB"/>
            <w:tcMar>
              <w:top w:w="90" w:type="dxa"/>
              <w:left w:w="100" w:type="dxa"/>
              <w:bottom w:w="90" w:type="dxa"/>
              <w:right w:w="100" w:type="dxa"/>
            </w:tcMar>
          </w:tcPr>
          <w:p w14:paraId="49373EDB" w14:textId="77777777" w:rsidR="004B0D7A" w:rsidRDefault="00000000">
            <w:r>
              <w:rPr>
                <w:b/>
                <w:color w:val="172C58"/>
              </w:rPr>
              <w:t>Description</w:t>
            </w:r>
          </w:p>
        </w:tc>
      </w:tr>
      <w:tr w:rsidR="004B0D7A" w14:paraId="545EE9E9" w14:textId="77777777">
        <w:trPr>
          <w:jc w:val="center"/>
        </w:trPr>
        <w:tc>
          <w:tcPr>
            <w:tcW w:w="4896" w:type="dxa"/>
            <w:tcMar>
              <w:top w:w="90" w:type="dxa"/>
              <w:left w:w="100" w:type="dxa"/>
              <w:bottom w:w="90" w:type="dxa"/>
              <w:right w:w="100" w:type="dxa"/>
            </w:tcMar>
            <w:vAlign w:val="center"/>
          </w:tcPr>
          <w:p w14:paraId="4A8578DB" w14:textId="77777777" w:rsidR="004B0D7A" w:rsidRDefault="00000000">
            <w:r>
              <w:rPr>
                <w:b/>
                <w:color w:val="4169B9"/>
              </w:rPr>
              <w:t>Clinical / research ecosystem</w:t>
            </w:r>
          </w:p>
        </w:tc>
        <w:tc>
          <w:tcPr>
            <w:tcW w:w="4896" w:type="dxa"/>
            <w:tcMar>
              <w:top w:w="90" w:type="dxa"/>
              <w:left w:w="100" w:type="dxa"/>
              <w:bottom w:w="90" w:type="dxa"/>
              <w:right w:w="100" w:type="dxa"/>
            </w:tcMar>
            <w:vAlign w:val="center"/>
          </w:tcPr>
          <w:p w14:paraId="7D7A3562" w14:textId="77777777" w:rsidR="004B0D7A" w:rsidRDefault="00000000">
            <w:r>
              <w:t>Hospitals, imaging labs, biomarker groups, and translational research collaborators.</w:t>
            </w:r>
          </w:p>
        </w:tc>
      </w:tr>
      <w:tr w:rsidR="004B0D7A" w14:paraId="08CC76DD" w14:textId="77777777">
        <w:trPr>
          <w:jc w:val="center"/>
        </w:trPr>
        <w:tc>
          <w:tcPr>
            <w:tcW w:w="4896" w:type="dxa"/>
            <w:tcMar>
              <w:top w:w="90" w:type="dxa"/>
              <w:left w:w="100" w:type="dxa"/>
              <w:bottom w:w="90" w:type="dxa"/>
              <w:right w:w="100" w:type="dxa"/>
            </w:tcMar>
            <w:vAlign w:val="center"/>
          </w:tcPr>
          <w:p w14:paraId="58406C7B" w14:textId="77777777" w:rsidR="004B0D7A" w:rsidRDefault="00000000">
            <w:r>
              <w:rPr>
                <w:b/>
                <w:color w:val="4169B9"/>
              </w:rPr>
              <w:t>Cloud / platform ecosystem</w:t>
            </w:r>
          </w:p>
        </w:tc>
        <w:tc>
          <w:tcPr>
            <w:tcW w:w="4896" w:type="dxa"/>
            <w:tcMar>
              <w:top w:w="90" w:type="dxa"/>
              <w:left w:w="100" w:type="dxa"/>
              <w:bottom w:w="90" w:type="dxa"/>
              <w:right w:w="100" w:type="dxa"/>
            </w:tcMar>
            <w:vAlign w:val="center"/>
          </w:tcPr>
          <w:p w14:paraId="3A8E868C" w14:textId="77777777" w:rsidR="004B0D7A" w:rsidRDefault="00000000">
            <w:r>
              <w:t>AWS Healthcare, IBM, MATLAB.</w:t>
            </w:r>
          </w:p>
        </w:tc>
      </w:tr>
      <w:tr w:rsidR="004B0D7A" w14:paraId="5CB7210F" w14:textId="77777777">
        <w:trPr>
          <w:jc w:val="center"/>
        </w:trPr>
        <w:tc>
          <w:tcPr>
            <w:tcW w:w="4896" w:type="dxa"/>
            <w:tcMar>
              <w:top w:w="90" w:type="dxa"/>
              <w:left w:w="100" w:type="dxa"/>
              <w:bottom w:w="90" w:type="dxa"/>
              <w:right w:w="100" w:type="dxa"/>
            </w:tcMar>
            <w:vAlign w:val="center"/>
          </w:tcPr>
          <w:p w14:paraId="26F8B322" w14:textId="77777777" w:rsidR="004B0D7A" w:rsidRDefault="00000000">
            <w:r>
              <w:rPr>
                <w:b/>
                <w:color w:val="4169B9"/>
              </w:rPr>
              <w:t>AI supply chain for QMEDIC pipeline/API</w:t>
            </w:r>
          </w:p>
        </w:tc>
        <w:tc>
          <w:tcPr>
            <w:tcW w:w="4896" w:type="dxa"/>
            <w:tcMar>
              <w:top w:w="90" w:type="dxa"/>
              <w:left w:w="100" w:type="dxa"/>
              <w:bottom w:w="90" w:type="dxa"/>
              <w:right w:w="100" w:type="dxa"/>
            </w:tcMar>
            <w:vAlign w:val="center"/>
          </w:tcPr>
          <w:p w14:paraId="2DFCF7B2" w14:textId="77777777" w:rsidR="004B0D7A" w:rsidRDefault="00000000">
            <w:r>
              <w:t>OpenAI, Anthropic.</w:t>
            </w:r>
          </w:p>
        </w:tc>
      </w:tr>
      <w:tr w:rsidR="004B0D7A" w14:paraId="462DA352" w14:textId="77777777">
        <w:trPr>
          <w:jc w:val="center"/>
        </w:trPr>
        <w:tc>
          <w:tcPr>
            <w:tcW w:w="4896" w:type="dxa"/>
            <w:tcMar>
              <w:top w:w="90" w:type="dxa"/>
              <w:left w:w="100" w:type="dxa"/>
              <w:bottom w:w="90" w:type="dxa"/>
              <w:right w:w="100" w:type="dxa"/>
            </w:tcMar>
            <w:vAlign w:val="center"/>
          </w:tcPr>
          <w:p w14:paraId="787C1B88" w14:textId="77777777" w:rsidR="004B0D7A" w:rsidRDefault="00000000">
            <w:r>
              <w:rPr>
                <w:b/>
                <w:color w:val="4169B9"/>
              </w:rPr>
              <w:t>Commercial / integration ecosystem</w:t>
            </w:r>
          </w:p>
        </w:tc>
        <w:tc>
          <w:tcPr>
            <w:tcW w:w="4896" w:type="dxa"/>
            <w:tcMar>
              <w:top w:w="90" w:type="dxa"/>
              <w:left w:w="100" w:type="dxa"/>
              <w:bottom w:w="90" w:type="dxa"/>
              <w:right w:w="100" w:type="dxa"/>
            </w:tcMar>
            <w:vAlign w:val="center"/>
          </w:tcPr>
          <w:p w14:paraId="4C391D80" w14:textId="77777777" w:rsidR="004B0D7A" w:rsidRDefault="00000000">
            <w:r>
              <w:t>PACS, medical-AI companies, enterprise imaging platforms, device-adjacent software partners.</w:t>
            </w:r>
          </w:p>
        </w:tc>
      </w:tr>
    </w:tbl>
    <w:p w14:paraId="5FDF693D" w14:textId="77777777" w:rsidR="004B0D7A" w:rsidRDefault="004B0D7A"/>
    <w:p w14:paraId="18D52AF2" w14:textId="77777777" w:rsidR="004B0D7A" w:rsidRDefault="00000000">
      <w:r>
        <w:br w:type="page"/>
      </w:r>
    </w:p>
    <w:p w14:paraId="44DD3AF7" w14:textId="77777777" w:rsidR="004B0D7A" w:rsidRDefault="00000000">
      <w:pPr>
        <w:pStyle w:val="ChapterTitle"/>
      </w:pPr>
      <w:r>
        <w:lastRenderedPageBreak/>
        <w:t>Appendix F. Reference and Illustration Notes</w:t>
      </w:r>
    </w:p>
    <w:tbl>
      <w:tblPr>
        <w:tblStyle w:val="af9"/>
        <w:tblW w:w="0" w:type="auto"/>
        <w:jc w:val="center"/>
        <w:tblLook w:val="04A0" w:firstRow="1" w:lastRow="0" w:firstColumn="1" w:lastColumn="0" w:noHBand="0" w:noVBand="1"/>
      </w:tblPr>
      <w:tblGrid>
        <w:gridCol w:w="4817"/>
        <w:gridCol w:w="4841"/>
      </w:tblGrid>
      <w:tr w:rsidR="004B0D7A" w14:paraId="46040EF6" w14:textId="77777777">
        <w:trPr>
          <w:jc w:val="center"/>
        </w:trPr>
        <w:tc>
          <w:tcPr>
            <w:tcW w:w="4896" w:type="dxa"/>
            <w:shd w:val="clear" w:color="auto" w:fill="EAF1FB"/>
            <w:tcMar>
              <w:top w:w="90" w:type="dxa"/>
              <w:left w:w="100" w:type="dxa"/>
              <w:bottom w:w="90" w:type="dxa"/>
              <w:right w:w="100" w:type="dxa"/>
            </w:tcMar>
          </w:tcPr>
          <w:p w14:paraId="762BE048" w14:textId="77777777" w:rsidR="004B0D7A" w:rsidRDefault="00000000">
            <w:r>
              <w:rPr>
                <w:b/>
                <w:color w:val="172C58"/>
              </w:rPr>
              <w:t>Item</w:t>
            </w:r>
          </w:p>
        </w:tc>
        <w:tc>
          <w:tcPr>
            <w:tcW w:w="4896" w:type="dxa"/>
            <w:shd w:val="clear" w:color="auto" w:fill="EAF1FB"/>
            <w:tcMar>
              <w:top w:w="90" w:type="dxa"/>
              <w:left w:w="100" w:type="dxa"/>
              <w:bottom w:w="90" w:type="dxa"/>
              <w:right w:w="100" w:type="dxa"/>
            </w:tcMar>
          </w:tcPr>
          <w:p w14:paraId="0C482019" w14:textId="77777777" w:rsidR="004B0D7A" w:rsidRDefault="00000000">
            <w:r>
              <w:rPr>
                <w:b/>
                <w:color w:val="172C58"/>
              </w:rPr>
              <w:t>Description</w:t>
            </w:r>
          </w:p>
        </w:tc>
      </w:tr>
      <w:tr w:rsidR="004B0D7A" w14:paraId="444F46A9" w14:textId="77777777">
        <w:trPr>
          <w:jc w:val="center"/>
        </w:trPr>
        <w:tc>
          <w:tcPr>
            <w:tcW w:w="4896" w:type="dxa"/>
            <w:tcMar>
              <w:top w:w="90" w:type="dxa"/>
              <w:left w:w="100" w:type="dxa"/>
              <w:bottom w:w="90" w:type="dxa"/>
              <w:right w:w="100" w:type="dxa"/>
            </w:tcMar>
            <w:vAlign w:val="center"/>
          </w:tcPr>
          <w:p w14:paraId="24BECFD5" w14:textId="77777777" w:rsidR="004B0D7A" w:rsidRDefault="00000000">
            <w:r>
              <w:rPr>
                <w:b/>
                <w:color w:val="4169B9"/>
              </w:rPr>
              <w:t>References included in this packaged draft</w:t>
            </w:r>
          </w:p>
        </w:tc>
        <w:tc>
          <w:tcPr>
            <w:tcW w:w="4896" w:type="dxa"/>
            <w:tcMar>
              <w:top w:w="90" w:type="dxa"/>
              <w:left w:w="100" w:type="dxa"/>
              <w:bottom w:w="90" w:type="dxa"/>
              <w:right w:w="100" w:type="dxa"/>
            </w:tcMar>
            <w:vAlign w:val="center"/>
          </w:tcPr>
          <w:p w14:paraId="4737D766" w14:textId="2BFB22BD" w:rsidR="004B0D7A" w:rsidRDefault="00000000">
            <w:r>
              <w:t>This document includes a short reference list for market/regulatory/cloud context and a working illustration for</w:t>
            </w:r>
            <w:r w:rsidR="00A9723C">
              <w:rPr>
                <w:rFonts w:hint="eastAsia"/>
                <w:lang w:eastAsia="ko-KR"/>
              </w:rPr>
              <w:t xml:space="preserve"> QMEDIC </w:t>
            </w:r>
            <w:r>
              <w:t>configuration.</w:t>
            </w:r>
          </w:p>
        </w:tc>
      </w:tr>
      <w:tr w:rsidR="004B0D7A" w14:paraId="55B400CC" w14:textId="77777777">
        <w:trPr>
          <w:jc w:val="center"/>
        </w:trPr>
        <w:tc>
          <w:tcPr>
            <w:tcW w:w="4896" w:type="dxa"/>
            <w:tcMar>
              <w:top w:w="90" w:type="dxa"/>
              <w:left w:w="100" w:type="dxa"/>
              <w:bottom w:w="90" w:type="dxa"/>
              <w:right w:w="100" w:type="dxa"/>
            </w:tcMar>
            <w:vAlign w:val="center"/>
          </w:tcPr>
          <w:p w14:paraId="30569CBC" w14:textId="77777777" w:rsidR="004B0D7A" w:rsidRDefault="00000000">
            <w:r>
              <w:rPr>
                <w:b/>
                <w:color w:val="4169B9"/>
              </w:rPr>
              <w:t>Illustration note</w:t>
            </w:r>
          </w:p>
        </w:tc>
        <w:tc>
          <w:tcPr>
            <w:tcW w:w="4896" w:type="dxa"/>
            <w:tcMar>
              <w:top w:w="90" w:type="dxa"/>
              <w:left w:w="100" w:type="dxa"/>
              <w:bottom w:w="90" w:type="dxa"/>
              <w:right w:w="100" w:type="dxa"/>
            </w:tcMar>
            <w:vAlign w:val="center"/>
          </w:tcPr>
          <w:p w14:paraId="05C79BE3" w14:textId="3569B8DB" w:rsidR="004B0D7A" w:rsidRDefault="00000000">
            <w:r>
              <w:t xml:space="preserve">The </w:t>
            </w:r>
            <w:r w:rsidR="00A9723C">
              <w:rPr>
                <w:rFonts w:hint="eastAsia"/>
                <w:lang w:eastAsia="ko-KR"/>
              </w:rPr>
              <w:t>QMEDIC</w:t>
            </w:r>
            <w:r>
              <w:t xml:space="preserve"> diagram is treated as a working internal illustration concept for this draft. If SQK has a formal expansion or product naming convention, the figure label can be updated in the final design.</w:t>
            </w:r>
          </w:p>
        </w:tc>
      </w:tr>
    </w:tbl>
    <w:p w14:paraId="758F67D3" w14:textId="77777777" w:rsidR="004B0D7A" w:rsidRDefault="004B0D7A"/>
    <w:p w14:paraId="198F0211" w14:textId="77777777" w:rsidR="004B0D7A" w:rsidRDefault="00000000">
      <w:pPr>
        <w:pStyle w:val="SectionTitle"/>
      </w:pPr>
      <w:r>
        <w:t>Selected external reference list for packaging</w:t>
      </w:r>
    </w:p>
    <w:p w14:paraId="1E4EF5C2" w14:textId="77777777" w:rsidR="004B0D7A" w:rsidRDefault="00000000">
      <w:pPr>
        <w:ind w:left="288" w:hanging="216"/>
      </w:pPr>
      <w:r>
        <w:rPr>
          <w:b/>
          <w:color w:val="4169B9"/>
        </w:rPr>
        <w:t xml:space="preserve">• </w:t>
      </w:r>
      <w:r>
        <w:t>U.S. FDA — Artificial Intelligence-Enabled Device Software Functions: Lifecycle Management and Marketing Submission Recommendations (draft guidance).</w:t>
      </w:r>
    </w:p>
    <w:p w14:paraId="5636D410" w14:textId="77777777" w:rsidR="004B0D7A" w:rsidRDefault="00000000">
      <w:pPr>
        <w:ind w:left="288" w:hanging="216"/>
      </w:pPr>
      <w:r>
        <w:rPr>
          <w:b/>
          <w:color w:val="4169B9"/>
        </w:rPr>
        <w:t xml:space="preserve">• </w:t>
      </w:r>
      <w:r>
        <w:t>U.S. FDA — Classify Your Medical Device; Premarket Notification 510(k) overview materials.</w:t>
      </w:r>
    </w:p>
    <w:p w14:paraId="107259AF" w14:textId="77777777" w:rsidR="004B0D7A" w:rsidRDefault="00000000">
      <w:pPr>
        <w:ind w:left="288" w:hanging="216"/>
      </w:pPr>
      <w:r>
        <w:rPr>
          <w:b/>
          <w:color w:val="4169B9"/>
        </w:rPr>
        <w:t xml:space="preserve">• </w:t>
      </w:r>
      <w:r>
        <w:t>Health Canada — Guidance Document: Software as a Medical Device (SaMD).</w:t>
      </w:r>
    </w:p>
    <w:p w14:paraId="0DE74952" w14:textId="77777777" w:rsidR="004B0D7A" w:rsidRDefault="00000000">
      <w:pPr>
        <w:ind w:left="288" w:hanging="216"/>
      </w:pPr>
      <w:r>
        <w:rPr>
          <w:b/>
          <w:color w:val="4169B9"/>
        </w:rPr>
        <w:t xml:space="preserve">• </w:t>
      </w:r>
      <w:r>
        <w:t>PMDA (Japan) — Software as a Medical Device (SaMD) review and guidance resources.</w:t>
      </w:r>
    </w:p>
    <w:p w14:paraId="7CF491D9" w14:textId="77777777" w:rsidR="004B0D7A" w:rsidRDefault="00000000">
      <w:pPr>
        <w:ind w:left="288" w:hanging="216"/>
      </w:pPr>
      <w:r>
        <w:rPr>
          <w:b/>
          <w:color w:val="4169B9"/>
        </w:rPr>
        <w:t xml:space="preserve">• </w:t>
      </w:r>
      <w:r>
        <w:t>AWS — HIPAA compliance resources, AWS Healthcare compliance resources, and HealthLake information pages.</w:t>
      </w:r>
    </w:p>
    <w:sectPr w:rsidR="004B0D7A" w:rsidSect="00BE3193">
      <w:headerReference w:type="default" r:id="rId8"/>
      <w:footerReference w:type="default" r:id="rId9"/>
      <w:pgSz w:w="11906" w:h="16838" w:code="9"/>
      <w:pgMar w:top="1152" w:right="1224" w:bottom="1008" w:left="122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4D5E6" w14:textId="77777777" w:rsidR="00EF53A8" w:rsidRDefault="00EF53A8">
      <w:pPr>
        <w:spacing w:after="0" w:line="240" w:lineRule="auto"/>
      </w:pPr>
      <w:r>
        <w:separator/>
      </w:r>
    </w:p>
  </w:endnote>
  <w:endnote w:type="continuationSeparator" w:id="0">
    <w:p w14:paraId="7E9F1ABD" w14:textId="77777777" w:rsidR="00EF53A8" w:rsidRDefault="00EF5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4A792" w14:textId="77777777" w:rsidR="004B0D7A" w:rsidRDefault="00000000">
    <w:pPr>
      <w:pStyle w:val="a6"/>
      <w:jc w:val="center"/>
    </w:pPr>
    <w:r>
      <w:rPr>
        <w:color w:val="5A606E"/>
        <w:sz w:val="16"/>
      </w:rPr>
      <w:t>SQK | QMEDIC | Draft for document packaging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15443" w14:textId="77777777" w:rsidR="00EF53A8" w:rsidRDefault="00EF53A8">
      <w:pPr>
        <w:spacing w:after="0" w:line="240" w:lineRule="auto"/>
      </w:pPr>
      <w:r>
        <w:separator/>
      </w:r>
    </w:p>
  </w:footnote>
  <w:footnote w:type="continuationSeparator" w:id="0">
    <w:p w14:paraId="2113106F" w14:textId="77777777" w:rsidR="00EF53A8" w:rsidRDefault="00EF53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81748" w14:textId="77777777" w:rsidR="004B0D7A" w:rsidRDefault="00000000">
    <w:pPr>
      <w:pStyle w:val="a5"/>
      <w:jc w:val="right"/>
    </w:pPr>
    <w:r>
      <w:rPr>
        <w:color w:val="5A606E"/>
        <w:sz w:val="16"/>
      </w:rPr>
      <w:t>SQK QMEDIC White Paper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501548145">
    <w:abstractNumId w:val="8"/>
  </w:num>
  <w:num w:numId="2" w16cid:durableId="347609937">
    <w:abstractNumId w:val="6"/>
  </w:num>
  <w:num w:numId="3" w16cid:durableId="1715689796">
    <w:abstractNumId w:val="5"/>
  </w:num>
  <w:num w:numId="4" w16cid:durableId="1648166810">
    <w:abstractNumId w:val="4"/>
  </w:num>
  <w:num w:numId="5" w16cid:durableId="1249535210">
    <w:abstractNumId w:val="7"/>
  </w:num>
  <w:num w:numId="6" w16cid:durableId="1215854867">
    <w:abstractNumId w:val="3"/>
  </w:num>
  <w:num w:numId="7" w16cid:durableId="1098864776">
    <w:abstractNumId w:val="2"/>
  </w:num>
  <w:num w:numId="8" w16cid:durableId="177086991">
    <w:abstractNumId w:val="1"/>
  </w:num>
  <w:num w:numId="9" w16cid:durableId="1847750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94CDB"/>
    <w:rsid w:val="004B0D7A"/>
    <w:rsid w:val="004F6674"/>
    <w:rsid w:val="006910F8"/>
    <w:rsid w:val="00727213"/>
    <w:rsid w:val="00A9723C"/>
    <w:rsid w:val="00AA1D8D"/>
    <w:rsid w:val="00B47730"/>
    <w:rsid w:val="00BE3193"/>
    <w:rsid w:val="00C82860"/>
    <w:rsid w:val="00CB0664"/>
    <w:rsid w:val="00D72B07"/>
    <w:rsid w:val="00EF53A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6F5D52"/>
  <w14:defaultImageDpi w14:val="300"/>
  <w15:docId w15:val="{742312C8-65CE-41A0-9462-72460F567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pPr>
      <w:spacing w:after="120" w:line="283" w:lineRule="auto"/>
    </w:pPr>
    <w:rPr>
      <w:rFonts w:ascii="Aptos" w:eastAsia="맑은 고딕" w:hAnsi="Aptos"/>
      <w:sz w:val="21"/>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머리글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바닥글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제목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제목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제목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제목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부제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style>
  <w:style w:type="character" w:customStyle="1" w:styleId="Char3">
    <w:name w:val="본문 Char"/>
    <w:basedOn w:val="a2"/>
    <w:link w:val="ab"/>
    <w:uiPriority w:val="99"/>
    <w:rsid w:val="00AA1D8D"/>
  </w:style>
  <w:style w:type="paragraph" w:styleId="22">
    <w:name w:val="Body Text 2"/>
    <w:basedOn w:val="a1"/>
    <w:link w:val="2Char0"/>
    <w:uiPriority w:val="99"/>
    <w:unhideWhenUsed/>
    <w:rsid w:val="00AA1D8D"/>
    <w:pPr>
      <w:spacing w:line="480" w:lineRule="auto"/>
    </w:pPr>
  </w:style>
  <w:style w:type="character" w:customStyle="1" w:styleId="2Char0">
    <w:name w:val="본문 2 Char"/>
    <w:basedOn w:val="a2"/>
    <w:link w:val="22"/>
    <w:uiPriority w:val="99"/>
    <w:rsid w:val="00AA1D8D"/>
  </w:style>
  <w:style w:type="paragraph" w:styleId="32">
    <w:name w:val="Body Text 3"/>
    <w:basedOn w:val="a1"/>
    <w:link w:val="3Char0"/>
    <w:uiPriority w:val="99"/>
    <w:unhideWhenUsed/>
    <w:rsid w:val="00AA1D8D"/>
    <w:rPr>
      <w:sz w:val="16"/>
      <w:szCs w:val="16"/>
    </w:rPr>
  </w:style>
  <w:style w:type="character" w:customStyle="1" w:styleId="3Char0">
    <w:name w:val="본문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ind w:left="360"/>
      <w:contextualSpacing/>
    </w:pPr>
  </w:style>
  <w:style w:type="paragraph" w:styleId="24">
    <w:name w:val="List Continue 2"/>
    <w:basedOn w:val="a1"/>
    <w:uiPriority w:val="99"/>
    <w:unhideWhenUsed/>
    <w:rsid w:val="0029639D"/>
    <w:pPr>
      <w:ind w:left="720"/>
      <w:contextualSpacing/>
    </w:pPr>
  </w:style>
  <w:style w:type="paragraph" w:styleId="34">
    <w:name w:val="List Continue 3"/>
    <w:basedOn w:val="a1"/>
    <w:uiPriority w:val="99"/>
    <w:unhideWhenUsed/>
    <w:rsid w:val="0029639D"/>
    <w:pPr>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매크로 텍스트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인용 Char"/>
    <w:basedOn w:val="a2"/>
    <w:link w:val="af"/>
    <w:uiPriority w:val="29"/>
    <w:rsid w:val="00FC693F"/>
    <w:rPr>
      <w:i/>
      <w:iCs/>
      <w:color w:val="000000" w:themeColor="text1"/>
    </w:rPr>
  </w:style>
  <w:style w:type="character" w:customStyle="1" w:styleId="4Char">
    <w:name w:val="제목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제목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제목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제목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제목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제목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강한 인용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9">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c">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d">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e">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verTitle">
    <w:name w:val="CoverTitle"/>
    <w:pPr>
      <w:spacing w:after="160" w:line="240" w:lineRule="auto"/>
    </w:pPr>
    <w:rPr>
      <w:rFonts w:ascii="Aptos Display" w:eastAsia="맑은 고딕" w:hAnsi="Aptos Display"/>
      <w:b/>
      <w:color w:val="172C58"/>
      <w:sz w:val="48"/>
    </w:rPr>
  </w:style>
  <w:style w:type="paragraph" w:customStyle="1" w:styleId="CoverSubtitle">
    <w:name w:val="CoverSubtitle"/>
    <w:pPr>
      <w:spacing w:after="120"/>
    </w:pPr>
    <w:rPr>
      <w:rFonts w:ascii="Aptos" w:eastAsia="맑은 고딕" w:hAnsi="Aptos"/>
      <w:color w:val="5A606E"/>
      <w:sz w:val="25"/>
    </w:rPr>
  </w:style>
  <w:style w:type="paragraph" w:customStyle="1" w:styleId="ChapterTitle">
    <w:name w:val="ChapterTitle"/>
    <w:pPr>
      <w:keepNext/>
      <w:spacing w:before="40" w:after="160"/>
    </w:pPr>
    <w:rPr>
      <w:rFonts w:ascii="Aptos Display" w:eastAsia="맑은 고딕" w:hAnsi="Aptos Display"/>
      <w:b/>
      <w:color w:val="172C58"/>
      <w:sz w:val="36"/>
    </w:rPr>
  </w:style>
  <w:style w:type="paragraph" w:customStyle="1" w:styleId="SectionTitle">
    <w:name w:val="SectionTitle"/>
    <w:pPr>
      <w:keepNext/>
      <w:spacing w:before="200" w:after="80"/>
    </w:pPr>
    <w:rPr>
      <w:rFonts w:ascii="Aptos" w:eastAsia="맑은 고딕" w:hAnsi="Aptos"/>
      <w:b/>
      <w:color w:val="4169B9"/>
      <w:sz w:val="25"/>
    </w:rPr>
  </w:style>
  <w:style w:type="paragraph" w:customStyle="1" w:styleId="SmallGray">
    <w:name w:val="SmallGray"/>
    <w:rPr>
      <w:rFonts w:ascii="Aptos" w:eastAsia="맑은 고딕" w:hAnsi="Aptos"/>
      <w:color w:val="5A606E"/>
      <w:sz w:val="18"/>
    </w:rPr>
  </w:style>
  <w:style w:type="paragraph" w:customStyle="1" w:styleId="QuoteBox">
    <w:name w:val="QuoteBox"/>
    <w:pPr>
      <w:spacing w:before="80" w:after="80"/>
      <w:ind w:left="288" w:right="144"/>
    </w:pPr>
    <w:rPr>
      <w:rFonts w:ascii="Aptos" w:eastAsia="맑은 고딕" w:hAnsi="Apto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4991</Words>
  <Characters>30597</Characters>
  <Application>Microsoft Office Word</Application>
  <DocSecurity>0</DocSecurity>
  <Lines>665</Lines>
  <Paragraphs>423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35165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Brandon Kim</cp:lastModifiedBy>
  <cp:revision>4</cp:revision>
  <dcterms:created xsi:type="dcterms:W3CDTF">2013-12-23T23:15:00Z</dcterms:created>
  <dcterms:modified xsi:type="dcterms:W3CDTF">2026-04-10T05:10:00Z</dcterms:modified>
  <cp:category/>
</cp:coreProperties>
</file>